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000000"/>
          <w:sz w:val="28"/>
          <w:szCs w:val="36"/>
        </w:rPr>
      </w:pPr>
      <w:r>
        <w:rPr>
          <w:rFonts w:hint="eastAsia" w:ascii="黑体" w:hAnsi="黑体" w:eastAsia="黑体" w:cs="黑体"/>
          <w:color w:val="000000"/>
          <w:sz w:val="28"/>
          <w:szCs w:val="36"/>
        </w:rPr>
        <w:t>GB 50601-2010《建筑物防雷工程施工与质量验收规范》</w:t>
      </w:r>
    </w:p>
    <w:p>
      <w:pPr>
        <w:numPr>
          <w:numId w:val="0"/>
        </w:numPr>
        <w:rPr>
          <w:rFonts w:hint="eastAsia" w:ascii="黑体" w:hAnsi="黑体" w:eastAsia="黑体" w:cs="黑体"/>
          <w:color w:val="000000"/>
          <w:sz w:val="28"/>
          <w:szCs w:val="36"/>
          <w:lang w:eastAsia="zh-CN"/>
        </w:rPr>
      </w:pPr>
      <w:r>
        <w:rPr>
          <w:rFonts w:hint="eastAsia" w:ascii="黑体" w:hAnsi="黑体" w:eastAsia="黑体" w:cs="黑体"/>
          <w:color w:val="000000"/>
          <w:sz w:val="28"/>
          <w:szCs w:val="36"/>
          <w:lang w:val="en-US" w:eastAsia="zh-CN"/>
        </w:rPr>
        <w:t xml:space="preserve">   一、</w:t>
      </w:r>
      <w:r>
        <w:rPr>
          <w:rFonts w:hint="eastAsia" w:ascii="黑体" w:hAnsi="黑体" w:eastAsia="黑体" w:cs="黑体"/>
          <w:color w:val="000000"/>
          <w:sz w:val="28"/>
          <w:szCs w:val="36"/>
          <w:lang w:eastAsia="zh-CN"/>
        </w:rPr>
        <w:t>名词解释</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1.防雷装置：用于对建筑物进行雷电防护的整套装置，由外部防雷装置和内部防雷装置组成。</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2</w:t>
      </w:r>
      <w:r>
        <w:rPr>
          <w:rFonts w:ascii="Times New Roman" w:hAnsi="Times New Roman" w:cs="Times New Roman"/>
          <w:color w:val="000000"/>
        </w:rPr>
        <w:t>.外部防雷装置</w:t>
      </w:r>
      <w:r>
        <w:rPr>
          <w:rFonts w:hint="eastAsia" w:ascii="Times New Roman" w:hAnsi="Times New Roman" w:cs="Times New Roman"/>
          <w:color w:val="000000"/>
        </w:rPr>
        <w:t>：用于</w:t>
      </w:r>
      <w:r>
        <w:rPr>
          <w:rFonts w:ascii="Times New Roman" w:hAnsi="Times New Roman" w:cs="Times New Roman"/>
          <w:color w:val="000000"/>
        </w:rPr>
        <w:t>防护直击雷的防雷装置</w:t>
      </w:r>
      <w:r>
        <w:rPr>
          <w:rFonts w:hint="eastAsia" w:ascii="Times New Roman" w:hAnsi="Times New Roman" w:cs="Times New Roman"/>
          <w:color w:val="000000"/>
        </w:rPr>
        <w:t>，</w:t>
      </w:r>
      <w:r>
        <w:rPr>
          <w:rFonts w:ascii="Times New Roman" w:hAnsi="Times New Roman" w:cs="Times New Roman"/>
          <w:color w:val="000000"/>
        </w:rPr>
        <w:t>由接闪器、引下线和接地装置组成。</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2</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3</w:t>
      </w:r>
      <w:r>
        <w:rPr>
          <w:rFonts w:ascii="Times New Roman" w:hAnsi="Times New Roman" w:cs="Times New Roman"/>
          <w:color w:val="000000"/>
        </w:rPr>
        <w:t>.内部防雷装置</w:t>
      </w:r>
      <w:r>
        <w:rPr>
          <w:rFonts w:hint="eastAsia" w:ascii="Times New Roman" w:hAnsi="Times New Roman" w:cs="Times New Roman"/>
          <w:color w:val="000000"/>
        </w:rPr>
        <w:t>：</w:t>
      </w:r>
      <w:r>
        <w:rPr>
          <w:rFonts w:ascii="Times New Roman" w:hAnsi="Times New Roman" w:cs="Times New Roman"/>
          <w:color w:val="000000"/>
        </w:rPr>
        <w:t>用</w:t>
      </w:r>
      <w:r>
        <w:rPr>
          <w:rFonts w:hint="eastAsia" w:ascii="Times New Roman" w:hAnsi="Times New Roman" w:cs="Times New Roman"/>
          <w:color w:val="000000"/>
        </w:rPr>
        <w:t>于</w:t>
      </w:r>
      <w:r>
        <w:rPr>
          <w:rFonts w:ascii="Times New Roman" w:hAnsi="Times New Roman" w:cs="Times New Roman"/>
          <w:color w:val="000000"/>
        </w:rPr>
        <w:t>减小雷电流在</w:t>
      </w:r>
      <w:r>
        <w:rPr>
          <w:rFonts w:hint="eastAsia" w:ascii="Times New Roman" w:hAnsi="Times New Roman" w:cs="Times New Roman"/>
          <w:color w:val="000000"/>
        </w:rPr>
        <w:t>所</w:t>
      </w:r>
      <w:r>
        <w:rPr>
          <w:rFonts w:ascii="Times New Roman" w:hAnsi="Times New Roman" w:cs="Times New Roman"/>
          <w:color w:val="000000"/>
        </w:rPr>
        <w:t>需防护空间内产生的电磁</w:t>
      </w:r>
      <w:r>
        <w:rPr>
          <w:rFonts w:hint="eastAsia" w:ascii="Times New Roman" w:hAnsi="Times New Roman" w:cs="Times New Roman"/>
          <w:color w:val="000000"/>
        </w:rPr>
        <w:t>效应的防雷装置，由屏蔽导体、等电位连接件和电涌保护器等组成。</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3</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4</w:t>
      </w:r>
      <w:r>
        <w:rPr>
          <w:rFonts w:hint="eastAsia" w:ascii="Times New Roman" w:hAnsi="Times New Roman" w:cs="Times New Roman"/>
          <w:color w:val="000000"/>
        </w:rPr>
        <w:t>.</w:t>
      </w:r>
      <w:r>
        <w:rPr>
          <w:rFonts w:ascii="Times New Roman" w:hAnsi="Times New Roman" w:cs="Times New Roman"/>
          <w:color w:val="000000"/>
        </w:rPr>
        <w:t>接地体</w:t>
      </w:r>
      <w:r>
        <w:rPr>
          <w:rFonts w:hint="eastAsia" w:ascii="Times New Roman" w:hAnsi="Times New Roman" w:cs="Times New Roman"/>
          <w:color w:val="000000"/>
        </w:rPr>
        <w:t>：</w:t>
      </w:r>
      <w:r>
        <w:rPr>
          <w:rFonts w:ascii="Times New Roman" w:hAnsi="Times New Roman" w:cs="Times New Roman"/>
          <w:color w:val="000000"/>
        </w:rPr>
        <w:t>埋入土壤或混凝土基础中作</w:t>
      </w:r>
      <w:r>
        <w:rPr>
          <w:rFonts w:hint="eastAsia" w:ascii="Times New Roman" w:hAnsi="Times New Roman" w:cs="Times New Roman"/>
          <w:color w:val="000000"/>
        </w:rPr>
        <w:t>散流</w:t>
      </w:r>
      <w:r>
        <w:rPr>
          <w:rFonts w:ascii="Times New Roman" w:hAnsi="Times New Roman" w:cs="Times New Roman"/>
          <w:color w:val="000000"/>
        </w:rPr>
        <w:t>用的导体</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4</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5</w:t>
      </w:r>
      <w:r>
        <w:rPr>
          <w:rFonts w:ascii="Times New Roman" w:hAnsi="Times New Roman" w:cs="Times New Roman"/>
          <w:color w:val="000000"/>
        </w:rPr>
        <w:t>.接地线</w:t>
      </w:r>
      <w:r>
        <w:rPr>
          <w:rFonts w:hint="eastAsia" w:ascii="Times New Roman" w:hAnsi="Times New Roman" w:cs="Times New Roman"/>
          <w:color w:val="000000"/>
        </w:rPr>
        <w:t>：</w:t>
      </w:r>
      <w:r>
        <w:rPr>
          <w:rFonts w:ascii="Times New Roman" w:hAnsi="Times New Roman" w:cs="Times New Roman"/>
          <w:color w:val="000000"/>
        </w:rPr>
        <w:t>从引下线断接卡或</w:t>
      </w:r>
      <w:r>
        <w:rPr>
          <w:rFonts w:hint="eastAsia" w:ascii="Times New Roman" w:hAnsi="Times New Roman" w:cs="Times New Roman"/>
          <w:color w:val="000000"/>
        </w:rPr>
        <w:t>测试点</w:t>
      </w:r>
      <w:r>
        <w:rPr>
          <w:rFonts w:ascii="Times New Roman" w:hAnsi="Times New Roman" w:cs="Times New Roman"/>
          <w:color w:val="000000"/>
        </w:rPr>
        <w:t>至接地体的连接导体</w:t>
      </w:r>
      <w:r>
        <w:rPr>
          <w:rFonts w:hint="eastAsia" w:ascii="Times New Roman" w:hAnsi="Times New Roman" w:cs="Times New Roman"/>
          <w:color w:val="000000"/>
        </w:rPr>
        <w:t>，</w:t>
      </w:r>
      <w:r>
        <w:rPr>
          <w:rFonts w:ascii="Times New Roman" w:hAnsi="Times New Roman" w:cs="Times New Roman"/>
          <w:color w:val="000000"/>
        </w:rPr>
        <w:t>或从接地端子、等电位连接带至接地体的连接导体。</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5</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6</w:t>
      </w:r>
      <w:r>
        <w:rPr>
          <w:rFonts w:ascii="Times New Roman" w:hAnsi="Times New Roman" w:cs="Times New Roman"/>
          <w:color w:val="000000"/>
        </w:rPr>
        <w:t>.共用接地系统</w:t>
      </w:r>
      <w:r>
        <w:rPr>
          <w:rFonts w:hint="eastAsia" w:ascii="Times New Roman" w:hAnsi="Times New Roman" w:cs="Times New Roman"/>
          <w:color w:val="000000"/>
        </w:rPr>
        <w:t>：</w:t>
      </w:r>
      <w:r>
        <w:rPr>
          <w:rFonts w:ascii="Times New Roman" w:hAnsi="Times New Roman" w:cs="Times New Roman"/>
          <w:color w:val="000000"/>
        </w:rPr>
        <w:t>将防雷装置、建筑物</w:t>
      </w:r>
      <w:r>
        <w:rPr>
          <w:rFonts w:hint="eastAsia" w:ascii="Times New Roman" w:hAnsi="Times New Roman" w:cs="Times New Roman"/>
          <w:color w:val="000000"/>
        </w:rPr>
        <w:t>基础</w:t>
      </w:r>
      <w:r>
        <w:rPr>
          <w:rFonts w:ascii="Times New Roman" w:hAnsi="Times New Roman" w:cs="Times New Roman"/>
          <w:color w:val="000000"/>
        </w:rPr>
        <w:t>金属构件、低压配电保护线、设备保护</w:t>
      </w:r>
      <w:r>
        <w:rPr>
          <w:rFonts w:hint="eastAsia" w:ascii="Times New Roman" w:hAnsi="Times New Roman" w:cs="Times New Roman"/>
          <w:color w:val="000000"/>
        </w:rPr>
        <w:t>接</w:t>
      </w:r>
      <w:r>
        <w:rPr>
          <w:rFonts w:ascii="Times New Roman" w:hAnsi="Times New Roman" w:cs="Times New Roman"/>
          <w:color w:val="000000"/>
        </w:rPr>
        <w:t>地，屏蔽体接地、防静电接地和信息技术设备逻辑地等</w:t>
      </w:r>
      <w:r>
        <w:rPr>
          <w:rFonts w:hint="eastAsia" w:ascii="Times New Roman" w:hAnsi="Times New Roman" w:cs="Times New Roman"/>
          <w:color w:val="000000"/>
        </w:rPr>
        <w:t>相互</w:t>
      </w:r>
      <w:r>
        <w:rPr>
          <w:rFonts w:ascii="Times New Roman" w:hAnsi="Times New Roman" w:cs="Times New Roman"/>
          <w:color w:val="000000"/>
        </w:rPr>
        <w:t>连接在一起的接地</w:t>
      </w:r>
      <w:r>
        <w:rPr>
          <w:rFonts w:hint="eastAsia" w:ascii="Times New Roman" w:hAnsi="Times New Roman" w:cs="Times New Roman"/>
          <w:color w:val="000000"/>
        </w:rPr>
        <w:t>系统</w:t>
      </w:r>
      <w:r>
        <w:rPr>
          <w:rFonts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6</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7</w:t>
      </w:r>
      <w:r>
        <w:rPr>
          <w:rFonts w:ascii="Times New Roman" w:hAnsi="Times New Roman" w:cs="Times New Roman"/>
          <w:color w:val="000000"/>
        </w:rPr>
        <w:t>.电涌保护器</w:t>
      </w:r>
      <w:r>
        <w:rPr>
          <w:rFonts w:hint="eastAsia" w:ascii="Times New Roman" w:hAnsi="Times New Roman" w:cs="Times New Roman"/>
          <w:color w:val="000000"/>
        </w:rPr>
        <w:t>：用于</w:t>
      </w:r>
      <w:r>
        <w:rPr>
          <w:rFonts w:ascii="Times New Roman" w:hAnsi="Times New Roman" w:cs="Times New Roman"/>
          <w:color w:val="000000"/>
        </w:rPr>
        <w:t>限制瞬态过电压和分</w:t>
      </w:r>
      <w:r>
        <w:rPr>
          <w:rFonts w:hint="eastAsia" w:ascii="Times New Roman" w:hAnsi="Times New Roman" w:cs="Times New Roman"/>
          <w:color w:val="000000"/>
        </w:rPr>
        <w:t>泄</w:t>
      </w:r>
      <w:r>
        <w:rPr>
          <w:rFonts w:ascii="Times New Roman" w:hAnsi="Times New Roman" w:cs="Times New Roman"/>
          <w:color w:val="000000"/>
        </w:rPr>
        <w:t>电涌电流的器件。至少含有一个非线性元件。</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7</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8</w:t>
      </w:r>
      <w:r>
        <w:rPr>
          <w:rFonts w:ascii="Times New Roman" w:hAnsi="Times New Roman" w:cs="Times New Roman"/>
          <w:color w:val="000000"/>
        </w:rPr>
        <w:t>.</w:t>
      </w:r>
      <w:r>
        <w:rPr>
          <w:rFonts w:hint="eastAsia" w:ascii="Times New Roman" w:hAnsi="Times New Roman" w:cs="Times New Roman"/>
          <w:color w:val="000000"/>
        </w:rPr>
        <w:t>后备</w:t>
      </w:r>
      <w:r>
        <w:rPr>
          <w:rFonts w:ascii="Times New Roman" w:hAnsi="Times New Roman" w:cs="Times New Roman"/>
          <w:color w:val="000000"/>
        </w:rPr>
        <w:t>过电流保护</w:t>
      </w:r>
      <w:r>
        <w:rPr>
          <w:rFonts w:hint="eastAsia" w:ascii="Times New Roman" w:hAnsi="Times New Roman" w:cs="Times New Roman"/>
          <w:color w:val="000000"/>
        </w:rPr>
        <w:t>：</w:t>
      </w:r>
      <w:r>
        <w:rPr>
          <w:rFonts w:ascii="Times New Roman" w:hAnsi="Times New Roman" w:cs="Times New Roman"/>
          <w:color w:val="000000"/>
        </w:rPr>
        <w:t>位于</w:t>
      </w:r>
      <w:r>
        <w:rPr>
          <w:rFonts w:hint="eastAsia" w:ascii="Times New Roman" w:hAnsi="Times New Roman" w:cs="Times New Roman"/>
          <w:color w:val="000000"/>
        </w:rPr>
        <w:t>电涌保护器</w:t>
      </w:r>
      <w:r>
        <w:rPr>
          <w:rFonts w:ascii="Times New Roman" w:hAnsi="Times New Roman" w:cs="Times New Roman"/>
          <w:color w:val="000000"/>
        </w:rPr>
        <w:t>外部的前端，作为电气装置的一部分的过电流</w:t>
      </w:r>
      <w:r>
        <w:rPr>
          <w:rFonts w:hint="eastAsia" w:ascii="Times New Roman" w:hAnsi="Times New Roman" w:cs="Times New Roman"/>
          <w:color w:val="000000"/>
        </w:rPr>
        <w:t>保护</w:t>
      </w:r>
      <w:r>
        <w:rPr>
          <w:rFonts w:ascii="Times New Roman" w:hAnsi="Times New Roman" w:cs="Times New Roman"/>
          <w:color w:val="000000"/>
        </w:rPr>
        <w:t>装置</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8</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lang w:val="en-US" w:eastAsia="zh-CN"/>
        </w:rPr>
        <w:t>9</w:t>
      </w:r>
      <w:r>
        <w:rPr>
          <w:rFonts w:ascii="Times New Roman" w:hAnsi="Times New Roman" w:cs="Times New Roman"/>
          <w:color w:val="000000"/>
        </w:rPr>
        <w:t>.内部系统</w:t>
      </w:r>
      <w:r>
        <w:rPr>
          <w:rFonts w:hint="eastAsia" w:ascii="Times New Roman" w:hAnsi="Times New Roman" w:cs="Times New Roman"/>
          <w:color w:val="000000"/>
        </w:rPr>
        <w:t>：</w:t>
      </w:r>
      <w:r>
        <w:rPr>
          <w:rFonts w:ascii="Times New Roman" w:hAnsi="Times New Roman" w:cs="Times New Roman"/>
          <w:color w:val="000000"/>
        </w:rPr>
        <w:t>建筑物内的电气和电子系统</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9</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0</w:t>
      </w:r>
      <w:r>
        <w:rPr>
          <w:rFonts w:ascii="Times New Roman" w:hAnsi="Times New Roman" w:cs="Times New Roman"/>
          <w:color w:val="000000"/>
        </w:rPr>
        <w:t>.</w:t>
      </w:r>
      <w:r>
        <w:rPr>
          <w:rFonts w:hint="eastAsia" w:ascii="Times New Roman" w:hAnsi="Times New Roman" w:cs="Times New Roman"/>
          <w:color w:val="000000"/>
        </w:rPr>
        <w:t>电气系统：由低压供电组合部件构成的系统。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10</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1</w:t>
      </w:r>
      <w:r>
        <w:rPr>
          <w:rFonts w:ascii="Times New Roman" w:hAnsi="Times New Roman" w:cs="Times New Roman"/>
          <w:color w:val="000000"/>
        </w:rPr>
        <w:t>.</w:t>
      </w:r>
      <w:r>
        <w:rPr>
          <w:rFonts w:hint="eastAsia" w:ascii="Times New Roman" w:hAnsi="Times New Roman" w:cs="Times New Roman"/>
          <w:color w:val="000000"/>
        </w:rPr>
        <w:t>电子系统：由通信设备、计算机、控制和仪表系统、无线电系统和电力电子装置构成的系统。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11</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2</w:t>
      </w:r>
      <w:r>
        <w:rPr>
          <w:rFonts w:ascii="Times New Roman" w:hAnsi="Times New Roman" w:cs="Times New Roman"/>
          <w:color w:val="000000"/>
        </w:rPr>
        <w:t>.</w:t>
      </w:r>
      <w:r>
        <w:rPr>
          <w:rFonts w:hint="eastAsia" w:ascii="Times New Roman" w:hAnsi="Times New Roman" w:cs="Times New Roman"/>
          <w:color w:val="000000"/>
        </w:rPr>
        <w:t>检验批：按同一的生产条件或规定的方式汇总起来供检验用的，由一定的数量样本组成的检验体。</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12</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1</w:t>
      </w:r>
      <w:r>
        <w:rPr>
          <w:rFonts w:hint="eastAsia" w:ascii="Times New Roman" w:hAnsi="Times New Roman" w:cs="Times New Roman"/>
          <w:color w:val="000000"/>
          <w:lang w:val="en-US" w:eastAsia="zh-CN"/>
        </w:rPr>
        <w:t>3</w:t>
      </w:r>
      <w:r>
        <w:rPr>
          <w:rFonts w:ascii="Times New Roman" w:hAnsi="Times New Roman" w:cs="Times New Roman"/>
          <w:color w:val="000000"/>
        </w:rPr>
        <w:t>.</w:t>
      </w:r>
      <w:r>
        <w:rPr>
          <w:rFonts w:hint="eastAsia" w:ascii="Times New Roman" w:hAnsi="Times New Roman" w:cs="Times New Roman"/>
          <w:color w:val="000000"/>
        </w:rPr>
        <w:t>主控项目：建筑工程中对安全、卫生、环境保护和公众利益起决定性作用的检验项目。</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13</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14.</w:t>
      </w:r>
      <w:r>
        <w:rPr>
          <w:rFonts w:hint="eastAsia" w:ascii="Times New Roman" w:hAnsi="Times New Roman" w:cs="Times New Roman"/>
          <w:color w:val="000000"/>
        </w:rPr>
        <w:t>一般项目：除主控项目以外的检验项目。</w:t>
      </w:r>
    </w:p>
    <w:p>
      <w:pPr>
        <w:pStyle w:val="2"/>
        <w:spacing w:before="0" w:beforeAutospacing="0" w:after="0" w:afterAutospacing="0" w:line="400" w:lineRule="exact"/>
        <w:ind w:firstLine="420"/>
        <w:rPr>
          <w:rFonts w:hint="eastAsia"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14</w:t>
      </w:r>
      <w:r>
        <w:rPr>
          <w:rFonts w:hint="eastAsia" w:ascii="Times New Roman" w:hAnsi="Times New Roman" w:cs="Times New Roman"/>
          <w:color w:val="000000"/>
        </w:rPr>
        <w:t>条</w:t>
      </w:r>
    </w:p>
    <w:p>
      <w:pPr>
        <w:pStyle w:val="2"/>
        <w:spacing w:before="0" w:beforeAutospacing="0" w:after="0" w:afterAutospacing="0" w:line="400" w:lineRule="exact"/>
        <w:ind w:firstLine="420"/>
        <w:rPr>
          <w:rFonts w:hint="eastAsia" w:ascii="Times New Roman" w:hAnsi="Times New Roman" w:cs="Times New Roman"/>
          <w:color w:val="000000"/>
        </w:rPr>
      </w:pPr>
    </w:p>
    <w:p>
      <w:pPr>
        <w:pStyle w:val="2"/>
        <w:spacing w:before="0" w:beforeAutospacing="0" w:after="0" w:afterAutospacing="0" w:line="400" w:lineRule="exact"/>
        <w:ind w:firstLine="420"/>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二、填空</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黑体" w:hAnsi="黑体" w:eastAsia="黑体" w:cs="黑体"/>
          <w:color w:val="000000"/>
          <w:sz w:val="28"/>
          <w:szCs w:val="36"/>
          <w:lang w:val="en-US" w:eastAsia="zh-CN"/>
        </w:rPr>
        <w:t xml:space="preserve">   </w:t>
      </w:r>
      <w:r>
        <w:rPr>
          <w:rFonts w:hint="eastAsia" w:ascii="Times New Roman" w:hAnsi="Times New Roman" w:cs="Times New Roman"/>
          <w:color w:val="000000"/>
        </w:rPr>
        <w:t>防雷装置用于对建筑物进行雷电防护的整套装置，由</w:t>
      </w:r>
      <w:r>
        <w:rPr>
          <w:rFonts w:hint="eastAsia" w:ascii="Times New Roman" w:hAnsi="Times New Roman" w:cs="Times New Roman"/>
          <w:color w:val="000000"/>
          <w:u w:val="single"/>
        </w:rPr>
        <w:t>外部防雷装置</w:t>
      </w:r>
      <w:r>
        <w:rPr>
          <w:rFonts w:hint="eastAsia" w:ascii="Times New Roman" w:hAnsi="Times New Roman" w:cs="Times New Roman"/>
          <w:color w:val="000000"/>
        </w:rPr>
        <w:t>和</w:t>
      </w:r>
      <w:r>
        <w:rPr>
          <w:rFonts w:hint="eastAsia" w:ascii="Times New Roman" w:hAnsi="Times New Roman" w:cs="Times New Roman"/>
          <w:color w:val="000000"/>
          <w:u w:val="single"/>
        </w:rPr>
        <w:t>内部防雷装置</w:t>
      </w:r>
      <w:r>
        <w:rPr>
          <w:rFonts w:hint="eastAsia" w:ascii="Times New Roman" w:hAnsi="Times New Roman" w:cs="Times New Roman"/>
          <w:color w:val="000000"/>
        </w:rPr>
        <w:t>组成。</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解析：</w:t>
      </w:r>
      <w:r>
        <w:rPr>
          <w:rFonts w:hint="eastAsia" w:ascii="Times New Roman" w:hAnsi="Times New Roman" w:cs="Times New Roman"/>
          <w:color w:val="000000"/>
        </w:rPr>
        <w:t>GB50601-2010《建筑物防雷工程施工与质量验收规范》第2.0.1条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外部防雷装置用于防护直击雷的防雷装置，由</w:t>
      </w:r>
      <w:r>
        <w:rPr>
          <w:rFonts w:hint="eastAsia" w:ascii="Times New Roman" w:hAnsi="Times New Roman" w:cs="Times New Roman"/>
          <w:color w:val="000000"/>
          <w:u w:val="single"/>
        </w:rPr>
        <w:t>接闪器、引下线和接地装置</w:t>
      </w:r>
      <w:r>
        <w:rPr>
          <w:rFonts w:hint="eastAsia" w:ascii="Times New Roman" w:hAnsi="Times New Roman" w:cs="Times New Roman"/>
          <w:color w:val="000000"/>
        </w:rPr>
        <w:t>组成。</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内部防雷装置用于减小雷电流在所需防护空间内产生的电磁效应的防雷装置，由</w:t>
      </w:r>
      <w:r>
        <w:rPr>
          <w:rFonts w:hint="eastAsia" w:ascii="Times New Roman" w:hAnsi="Times New Roman" w:cs="Times New Roman"/>
          <w:color w:val="000000"/>
          <w:u w:val="single"/>
        </w:rPr>
        <w:t>屏蔽导体、等电位连接件和电涌保护器</w:t>
      </w:r>
      <w:r>
        <w:rPr>
          <w:rFonts w:hint="eastAsia" w:ascii="Times New Roman" w:hAnsi="Times New Roman" w:cs="Times New Roman"/>
          <w:color w:val="000000"/>
        </w:rPr>
        <w:t>等组成。</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接地体是指埋入土壤或混凝土基础中作</w:t>
      </w:r>
      <w:r>
        <w:rPr>
          <w:rFonts w:hint="eastAsia" w:ascii="Times New Roman" w:hAnsi="Times New Roman" w:cs="Times New Roman"/>
          <w:color w:val="000000"/>
          <w:u w:val="single"/>
        </w:rPr>
        <w:t>散流</w:t>
      </w:r>
      <w:r>
        <w:rPr>
          <w:rFonts w:hint="eastAsia" w:ascii="Times New Roman" w:hAnsi="Times New Roman" w:cs="Times New Roman"/>
          <w:color w:val="000000"/>
        </w:rPr>
        <w:t>用的导体。</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从</w:t>
      </w:r>
      <w:r>
        <w:rPr>
          <w:rFonts w:hint="eastAsia" w:ascii="Times New Roman" w:hAnsi="Times New Roman" w:cs="Times New Roman"/>
          <w:color w:val="000000"/>
          <w:u w:val="single"/>
        </w:rPr>
        <w:t>引下线断接卡或测试点</w:t>
      </w:r>
      <w:r>
        <w:rPr>
          <w:rFonts w:hint="eastAsia" w:ascii="Times New Roman" w:hAnsi="Times New Roman" w:cs="Times New Roman"/>
          <w:color w:val="000000"/>
        </w:rPr>
        <w:t>至接地体的连接导体，或从</w:t>
      </w:r>
      <w:r>
        <w:rPr>
          <w:rFonts w:hint="eastAsia" w:ascii="Times New Roman" w:hAnsi="Times New Roman" w:cs="Times New Roman"/>
          <w:color w:val="000000"/>
          <w:u w:val="single"/>
        </w:rPr>
        <w:t>接地端子、等电位连接</w:t>
      </w:r>
      <w:r>
        <w:rPr>
          <w:rFonts w:hint="eastAsia" w:ascii="Times New Roman" w:hAnsi="Times New Roman" w:cs="Times New Roman"/>
          <w:color w:val="000000"/>
        </w:rPr>
        <w:t>带至接地体的连接导体称为接地线。</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解析：GB50601-2010《建筑物防雷工程施工与质量验收规范》第2.0.5条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共用接地系统是将防雷装置、</w:t>
      </w:r>
      <w:r>
        <w:rPr>
          <w:rFonts w:hint="eastAsia" w:ascii="Times New Roman" w:hAnsi="Times New Roman" w:cs="Times New Roman"/>
          <w:color w:val="000000"/>
          <w:u w:val="single"/>
        </w:rPr>
        <w:t>建筑物基础金属构件</w:t>
      </w:r>
      <w:r>
        <w:rPr>
          <w:rFonts w:hint="eastAsia" w:ascii="Times New Roman" w:hAnsi="Times New Roman" w:cs="Times New Roman"/>
          <w:color w:val="000000"/>
        </w:rPr>
        <w:t>、</w:t>
      </w:r>
      <w:r>
        <w:rPr>
          <w:rFonts w:hint="eastAsia" w:ascii="Times New Roman" w:hAnsi="Times New Roman" w:cs="Times New Roman"/>
          <w:color w:val="000000"/>
          <w:u w:val="single"/>
        </w:rPr>
        <w:t>低压配电保护线</w:t>
      </w:r>
      <w:r>
        <w:rPr>
          <w:rFonts w:hint="eastAsia" w:ascii="Times New Roman" w:hAnsi="Times New Roman" w:cs="Times New Roman"/>
          <w:color w:val="000000"/>
        </w:rPr>
        <w:t>、</w:t>
      </w:r>
      <w:r>
        <w:rPr>
          <w:rFonts w:hint="eastAsia" w:ascii="Times New Roman" w:hAnsi="Times New Roman" w:cs="Times New Roman"/>
          <w:color w:val="000000"/>
          <w:u w:val="single"/>
        </w:rPr>
        <w:t>设备保护接地</w:t>
      </w:r>
      <w:r>
        <w:rPr>
          <w:rFonts w:hint="eastAsia" w:ascii="Times New Roman" w:hAnsi="Times New Roman" w:cs="Times New Roman"/>
          <w:color w:val="000000"/>
        </w:rPr>
        <w:t>，</w:t>
      </w:r>
      <w:r>
        <w:rPr>
          <w:rFonts w:hint="eastAsia" w:ascii="Times New Roman" w:hAnsi="Times New Roman" w:cs="Times New Roman"/>
          <w:color w:val="000000"/>
          <w:u w:val="single"/>
        </w:rPr>
        <w:t>屏蔽体接地</w:t>
      </w:r>
      <w:r>
        <w:rPr>
          <w:rFonts w:hint="eastAsia" w:ascii="Times New Roman" w:hAnsi="Times New Roman" w:cs="Times New Roman"/>
          <w:color w:val="000000"/>
        </w:rPr>
        <w:t>、</w:t>
      </w:r>
      <w:r>
        <w:rPr>
          <w:rFonts w:hint="eastAsia" w:ascii="Times New Roman" w:hAnsi="Times New Roman" w:cs="Times New Roman"/>
          <w:color w:val="000000"/>
          <w:u w:val="single"/>
        </w:rPr>
        <w:t>防静电接地</w:t>
      </w:r>
      <w:r>
        <w:rPr>
          <w:rFonts w:hint="eastAsia" w:ascii="Times New Roman" w:hAnsi="Times New Roman" w:cs="Times New Roman"/>
          <w:color w:val="000000"/>
        </w:rPr>
        <w:t>和</w:t>
      </w:r>
      <w:r>
        <w:rPr>
          <w:rFonts w:hint="eastAsia" w:ascii="Times New Roman" w:hAnsi="Times New Roman" w:cs="Times New Roman"/>
          <w:color w:val="000000"/>
          <w:u w:val="single"/>
        </w:rPr>
        <w:t>信息技术设备逻辑地</w:t>
      </w:r>
      <w:r>
        <w:rPr>
          <w:rFonts w:hint="eastAsia" w:ascii="Times New Roman" w:hAnsi="Times New Roman" w:cs="Times New Roman"/>
          <w:color w:val="000000"/>
        </w:rPr>
        <w:t>等相互连接在一起的接地系统。</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电涌保护器是用于限制</w:t>
      </w:r>
      <w:r>
        <w:rPr>
          <w:rFonts w:hint="eastAsia" w:ascii="Times New Roman" w:hAnsi="Times New Roman" w:cs="Times New Roman"/>
          <w:color w:val="000000"/>
          <w:u w:val="single"/>
        </w:rPr>
        <w:t>瞬态过电压</w:t>
      </w:r>
      <w:r>
        <w:rPr>
          <w:rFonts w:hint="eastAsia" w:ascii="Times New Roman" w:hAnsi="Times New Roman" w:cs="Times New Roman"/>
          <w:color w:val="000000"/>
        </w:rPr>
        <w:t>和分泄</w:t>
      </w:r>
      <w:r>
        <w:rPr>
          <w:rFonts w:hint="eastAsia" w:ascii="Times New Roman" w:hAnsi="Times New Roman" w:cs="Times New Roman"/>
          <w:color w:val="000000"/>
          <w:u w:val="single"/>
        </w:rPr>
        <w:t>电涌电流</w:t>
      </w:r>
      <w:r>
        <w:rPr>
          <w:rFonts w:hint="eastAsia" w:ascii="Times New Roman" w:hAnsi="Times New Roman" w:cs="Times New Roman"/>
          <w:color w:val="000000"/>
        </w:rPr>
        <w:t>的器件。</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解析：GB50601-2010《建筑物防雷工程施工与质量验收规范》第2.0.7条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后备过电流保护位于电涌保护器外部的</w:t>
      </w:r>
      <w:r>
        <w:rPr>
          <w:rFonts w:hint="eastAsia" w:ascii="Times New Roman" w:hAnsi="Times New Roman" w:cs="Times New Roman"/>
          <w:color w:val="000000"/>
          <w:u w:val="single"/>
        </w:rPr>
        <w:t>前端</w:t>
      </w:r>
      <w:r>
        <w:rPr>
          <w:rFonts w:hint="eastAsia" w:ascii="Times New Roman" w:hAnsi="Times New Roman" w:cs="Times New Roman"/>
          <w:color w:val="000000"/>
        </w:rPr>
        <w:t>，作为电气装置的一部分的</w:t>
      </w:r>
      <w:r>
        <w:rPr>
          <w:rFonts w:hint="eastAsia" w:ascii="Times New Roman" w:hAnsi="Times New Roman" w:cs="Times New Roman"/>
          <w:color w:val="000000"/>
          <w:u w:val="single"/>
        </w:rPr>
        <w:t>过电流</w:t>
      </w:r>
      <w:r>
        <w:rPr>
          <w:rFonts w:hint="eastAsia" w:ascii="Times New Roman" w:hAnsi="Times New Roman" w:cs="Times New Roman"/>
          <w:color w:val="000000"/>
        </w:rPr>
        <w:t>保护装置。</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解析：GB50601-2010《建筑物防雷工程施工与质量验收规范》第2.0.8条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内部系统是指建筑物内的</w:t>
      </w:r>
      <w:r>
        <w:rPr>
          <w:rFonts w:hint="eastAsia" w:ascii="Times New Roman" w:hAnsi="Times New Roman" w:cs="Times New Roman"/>
          <w:color w:val="000000"/>
          <w:u w:val="single"/>
        </w:rPr>
        <w:t>电气和电子</w:t>
      </w:r>
      <w:r>
        <w:rPr>
          <w:rFonts w:hint="eastAsia" w:ascii="Times New Roman" w:hAnsi="Times New Roman" w:cs="Times New Roman"/>
          <w:color w:val="000000"/>
        </w:rPr>
        <w:t>系统。</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解析：GB50601-2010《建筑物防雷工程施工与质量验收规范》第2.0.9条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由</w:t>
      </w:r>
      <w:r>
        <w:rPr>
          <w:rFonts w:hint="eastAsia" w:ascii="Times New Roman" w:hAnsi="Times New Roman" w:cs="Times New Roman"/>
          <w:color w:val="000000"/>
          <w:u w:val="single"/>
        </w:rPr>
        <w:t>低压供电</w:t>
      </w:r>
      <w:r>
        <w:rPr>
          <w:rFonts w:hint="eastAsia" w:ascii="Times New Roman" w:hAnsi="Times New Roman" w:cs="Times New Roman"/>
          <w:color w:val="000000"/>
        </w:rPr>
        <w:t>组合部件构成的系统称为电气系统。</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解析：GB50601-2010《建筑物防雷工程施工与质量验收规范》第2.0.10条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电子系统指由</w:t>
      </w:r>
      <w:r>
        <w:rPr>
          <w:rFonts w:hint="eastAsia" w:ascii="Times New Roman" w:hAnsi="Times New Roman" w:cs="Times New Roman"/>
          <w:color w:val="000000"/>
          <w:u w:val="single"/>
        </w:rPr>
        <w:t>通信设备、计算机、控制和仪表系统、无线电系统和电力电子装置</w:t>
      </w:r>
      <w:r>
        <w:rPr>
          <w:rFonts w:hint="eastAsia" w:ascii="Times New Roman" w:hAnsi="Times New Roman" w:cs="Times New Roman"/>
          <w:color w:val="000000"/>
        </w:rPr>
        <w:t>构成的系统。</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检验批是按同一的</w:t>
      </w:r>
      <w:r>
        <w:rPr>
          <w:rFonts w:hint="eastAsia" w:ascii="Times New Roman" w:hAnsi="Times New Roman" w:cs="Times New Roman"/>
          <w:color w:val="000000"/>
          <w:u w:val="single"/>
        </w:rPr>
        <w:t>生产条件或规定的方式</w:t>
      </w:r>
      <w:r>
        <w:rPr>
          <w:rFonts w:hint="eastAsia" w:ascii="Times New Roman" w:hAnsi="Times New Roman" w:cs="Times New Roman"/>
          <w:color w:val="000000"/>
        </w:rPr>
        <w:t>汇总起来供检验用的，由一定的数量样本组成的检验体。</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建筑工程中对</w:t>
      </w:r>
      <w:r>
        <w:rPr>
          <w:rFonts w:hint="eastAsia" w:ascii="Times New Roman" w:hAnsi="Times New Roman" w:cs="Times New Roman"/>
          <w:color w:val="000000"/>
          <w:u w:val="single"/>
        </w:rPr>
        <w:t>安全、卫生、环境保护和公众利益</w:t>
      </w:r>
      <w:r>
        <w:rPr>
          <w:rFonts w:hint="eastAsia" w:ascii="Times New Roman" w:hAnsi="Times New Roman" w:cs="Times New Roman"/>
          <w:color w:val="000000"/>
        </w:rPr>
        <w:t>起决定性作用的检验项目称为主控项目。</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解析：GB50601-2010《建筑物防雷工程施工与质量验收规范》第2.0.13条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一般项目指除</w:t>
      </w:r>
      <w:r>
        <w:rPr>
          <w:rFonts w:hint="eastAsia" w:ascii="Times New Roman" w:hAnsi="Times New Roman" w:cs="Times New Roman"/>
          <w:color w:val="000000"/>
          <w:u w:val="single"/>
        </w:rPr>
        <w:t>主控项目以外</w:t>
      </w:r>
      <w:r>
        <w:rPr>
          <w:rFonts w:hint="eastAsia" w:ascii="Times New Roman" w:hAnsi="Times New Roman" w:cs="Times New Roman"/>
          <w:color w:val="000000"/>
        </w:rPr>
        <w:t>的检验项目。</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解析：GB50601-2010《建筑物防雷工程施工与质量验收规范》第2.0.14条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施工人员、资质和计量器具应符合下列要求：1、</w:t>
      </w:r>
      <w:r>
        <w:rPr>
          <w:rFonts w:hint="eastAsia" w:ascii="Times New Roman" w:hAnsi="Times New Roman" w:cs="Times New Roman"/>
          <w:color w:val="000000"/>
          <w:u w:val="single"/>
        </w:rPr>
        <w:t>施工中的各工种技工、技术人员均应具备相应的资格，并应持证上岗</w:t>
      </w:r>
      <w:r>
        <w:rPr>
          <w:rFonts w:hint="eastAsia" w:ascii="Times New Roman" w:hAnsi="Times New Roman" w:cs="Times New Roman"/>
          <w:color w:val="000000"/>
        </w:rPr>
        <w:t>。2、</w:t>
      </w:r>
      <w:r>
        <w:rPr>
          <w:rFonts w:hint="eastAsia" w:ascii="Times New Roman" w:hAnsi="Times New Roman" w:cs="Times New Roman"/>
          <w:color w:val="000000"/>
          <w:u w:val="single"/>
        </w:rPr>
        <w:t>施工单位应具备相应的施工资质</w:t>
      </w:r>
      <w:r>
        <w:rPr>
          <w:rFonts w:hint="eastAsia" w:ascii="Times New Roman" w:hAnsi="Times New Roman" w:cs="Times New Roman"/>
          <w:color w:val="000000"/>
        </w:rPr>
        <w:t>。3、</w:t>
      </w:r>
      <w:r>
        <w:rPr>
          <w:rFonts w:hint="eastAsia" w:ascii="Times New Roman" w:hAnsi="Times New Roman" w:cs="Times New Roman"/>
          <w:color w:val="000000"/>
          <w:u w:val="single"/>
        </w:rPr>
        <w:t>在安装和调试中使用的各种计量器具，应经法定计量认证机构检定合格，并应在检定合格有效期内使用</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解析：GB50601-2010《建筑物防雷工程施工与质量验收规范》第3.2条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防雷工程采用的主要设备、材料、成品、半成品进场检验结论应有</w:t>
      </w:r>
      <w:r>
        <w:rPr>
          <w:rFonts w:hint="eastAsia" w:ascii="Times New Roman" w:hAnsi="Times New Roman" w:cs="Times New Roman"/>
          <w:color w:val="000000"/>
          <w:u w:val="single"/>
        </w:rPr>
        <w:t>记录</w:t>
      </w:r>
      <w:r>
        <w:rPr>
          <w:rFonts w:hint="eastAsia" w:ascii="Times New Roman" w:hAnsi="Times New Roman" w:cs="Times New Roman"/>
          <w:color w:val="000000"/>
        </w:rPr>
        <w:t>，并应在确认</w:t>
      </w:r>
      <w:r>
        <w:rPr>
          <w:rFonts w:hint="eastAsia" w:ascii="Times New Roman" w:hAnsi="Times New Roman" w:cs="Times New Roman"/>
          <w:color w:val="000000"/>
          <w:u w:val="single"/>
        </w:rPr>
        <w:t>符合本规范的规定</w:t>
      </w:r>
      <w:r>
        <w:rPr>
          <w:rFonts w:hint="eastAsia" w:ascii="Times New Roman" w:hAnsi="Times New Roman" w:cs="Times New Roman"/>
          <w:color w:val="000000"/>
        </w:rPr>
        <w:t>后再在施工中应用。对依法定程序批准进入市场的新设备、器具和材料进场验收，供应商尚应提供</w:t>
      </w:r>
      <w:r>
        <w:rPr>
          <w:rFonts w:hint="eastAsia" w:ascii="Times New Roman" w:hAnsi="Times New Roman" w:cs="Times New Roman"/>
          <w:color w:val="000000"/>
          <w:u w:val="single"/>
        </w:rPr>
        <w:t>安装、使用、维修和试验要求</w:t>
      </w:r>
      <w:r>
        <w:rPr>
          <w:rFonts w:hint="eastAsia" w:ascii="Times New Roman" w:hAnsi="Times New Roman" w:cs="Times New Roman"/>
          <w:color w:val="000000"/>
        </w:rPr>
        <w:t>等技术文件。对进口设备、器具和材料进场验收，供应商尚应提供</w:t>
      </w:r>
      <w:r>
        <w:rPr>
          <w:rFonts w:hint="eastAsia" w:ascii="Times New Roman" w:hAnsi="Times New Roman" w:cs="Times New Roman"/>
          <w:color w:val="000000"/>
          <w:u w:val="single"/>
        </w:rPr>
        <w:t>商检（或国内检测机构）证明和中文的质量合格证明文件</w:t>
      </w:r>
      <w:r>
        <w:rPr>
          <w:rFonts w:hint="eastAsia" w:ascii="Times New Roman" w:hAnsi="Times New Roman" w:cs="Times New Roman"/>
          <w:color w:val="000000"/>
        </w:rPr>
        <w:t>，规格、型号、性能检验报告，以及中文的安装、使用、维修和试验要求等技术文件。</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解析：GB50601-2010《建筑物防雷工程施工与质量验收规范》第3.2.1条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各工序应按本规范规定的工序进行质量控制，每道工序完成后，应进行</w:t>
      </w:r>
      <w:r>
        <w:rPr>
          <w:rFonts w:hint="eastAsia" w:ascii="Times New Roman" w:hAnsi="Times New Roman" w:cs="Times New Roman"/>
          <w:color w:val="000000"/>
          <w:u w:val="single"/>
        </w:rPr>
        <w:t>检查</w:t>
      </w:r>
      <w:r>
        <w:rPr>
          <w:rFonts w:hint="eastAsia" w:ascii="Times New Roman" w:hAnsi="Times New Roman" w:cs="Times New Roman"/>
          <w:color w:val="000000"/>
        </w:rPr>
        <w:t>。相关各专业工种之间，应进行</w:t>
      </w:r>
      <w:r>
        <w:rPr>
          <w:rFonts w:hint="eastAsia" w:ascii="Times New Roman" w:hAnsi="Times New Roman" w:cs="Times New Roman"/>
          <w:color w:val="000000"/>
          <w:u w:val="single"/>
        </w:rPr>
        <w:t>交接检验</w:t>
      </w:r>
      <w:r>
        <w:rPr>
          <w:rFonts w:hint="eastAsia" w:ascii="Times New Roman" w:hAnsi="Times New Roman" w:cs="Times New Roman"/>
          <w:color w:val="000000"/>
        </w:rPr>
        <w:t>，并应形成记录，应包括</w:t>
      </w:r>
      <w:r>
        <w:rPr>
          <w:rFonts w:hint="eastAsia" w:ascii="Times New Roman" w:hAnsi="Times New Roman" w:cs="Times New Roman"/>
          <w:color w:val="000000"/>
          <w:u w:val="single"/>
        </w:rPr>
        <w:t>隐蔽工程</w:t>
      </w:r>
      <w:r>
        <w:rPr>
          <w:rFonts w:hint="eastAsia" w:ascii="Times New Roman" w:hAnsi="Times New Roman" w:cs="Times New Roman"/>
          <w:color w:val="000000"/>
        </w:rPr>
        <w:t>记录。未经</w:t>
      </w:r>
      <w:r>
        <w:rPr>
          <w:rFonts w:hint="eastAsia" w:ascii="Times New Roman" w:hAnsi="Times New Roman" w:cs="Times New Roman"/>
          <w:color w:val="000000"/>
          <w:u w:val="single"/>
        </w:rPr>
        <w:t>监理工程师或建设单位技术负责人</w:t>
      </w:r>
      <w:r>
        <w:rPr>
          <w:rFonts w:hint="eastAsia" w:ascii="Times New Roman" w:hAnsi="Times New Roman" w:cs="Times New Roman"/>
          <w:color w:val="000000"/>
        </w:rPr>
        <w:t>检查确认，不得进行下道工序施工。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解析：GB50601-2010《建筑物防雷工程施工与质量验收规范》第3.2.2条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除设计要求外，兼做引下线的承力钢结构构件、混凝土梁、柱内钢筋与钢筋的连接，应采用土建施工的</w:t>
      </w:r>
      <w:r>
        <w:rPr>
          <w:rFonts w:hint="eastAsia" w:ascii="Times New Roman" w:hAnsi="Times New Roman" w:cs="Times New Roman"/>
          <w:color w:val="000000"/>
          <w:u w:val="single"/>
        </w:rPr>
        <w:t>绑扎法</w:t>
      </w:r>
      <w:r>
        <w:rPr>
          <w:rFonts w:hint="eastAsia" w:ascii="Times New Roman" w:hAnsi="Times New Roman" w:cs="Times New Roman"/>
          <w:color w:val="000000"/>
        </w:rPr>
        <w:t>或</w:t>
      </w:r>
      <w:r>
        <w:rPr>
          <w:rFonts w:hint="eastAsia" w:ascii="Times New Roman" w:hAnsi="Times New Roman" w:cs="Times New Roman"/>
          <w:color w:val="000000"/>
          <w:u w:val="single"/>
        </w:rPr>
        <w:t>螺丝扣的机械连接</w:t>
      </w:r>
      <w:r>
        <w:rPr>
          <w:rFonts w:hint="eastAsia" w:ascii="Times New Roman" w:hAnsi="Times New Roman" w:cs="Times New Roman"/>
          <w:color w:val="000000"/>
        </w:rPr>
        <w:t>，严禁</w:t>
      </w:r>
      <w:r>
        <w:rPr>
          <w:rFonts w:hint="eastAsia" w:ascii="Times New Roman" w:hAnsi="Times New Roman" w:cs="Times New Roman"/>
          <w:color w:val="000000"/>
          <w:u w:val="single"/>
        </w:rPr>
        <w:t>热加工</w:t>
      </w:r>
      <w:r>
        <w:rPr>
          <w:rFonts w:hint="eastAsia" w:ascii="Times New Roman" w:hAnsi="Times New Roman" w:cs="Times New Roman"/>
          <w:color w:val="000000"/>
        </w:rPr>
        <w:t>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解析：GB50601-2010《建筑物防雷工程施工与质量验收规范》第3.2.3条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主控项目应符合下列规定：1、</w:t>
      </w:r>
      <w:r>
        <w:rPr>
          <w:rFonts w:hint="eastAsia" w:ascii="Times New Roman" w:hAnsi="Times New Roman" w:cs="Times New Roman"/>
          <w:color w:val="000000"/>
          <w:u w:val="single"/>
        </w:rPr>
        <w:t>利用建筑物桩基、梁、柱内钢筋做接地装置的自然接地体和为接地需要而专门埋设的人工接地体，应在地面以上按设计要求的位置设置可供测量、接人工接地体和做等电位连接用的连接板</w:t>
      </w:r>
      <w:r>
        <w:rPr>
          <w:rFonts w:hint="eastAsia" w:ascii="Times New Roman" w:hAnsi="Times New Roman" w:cs="Times New Roman"/>
          <w:color w:val="000000"/>
        </w:rPr>
        <w:t>。2、接地装置的接地电阻值应符合设计文件的要求。3、在建筑物外人员可经过或停留的引下线与接地体连接处3m范围内，应采用防止跨步电压对人员造成伤害。</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主控项目应符合下列规定：1、利用建筑物桩基、梁、柱内钢筋做接地装置的自然接地体和为接地需要而专门埋设的人工接地体，应在地面以上按设计要求的位置设置可供测量、接人工接地体和做等电位连接用的连接板。2、</w:t>
      </w:r>
      <w:r>
        <w:rPr>
          <w:rFonts w:hint="eastAsia" w:ascii="Times New Roman" w:hAnsi="Times New Roman" w:cs="Times New Roman"/>
          <w:color w:val="000000"/>
          <w:u w:val="single"/>
        </w:rPr>
        <w:t>接地装置的接地电阻值应符合设计文件的要求</w:t>
      </w:r>
      <w:r>
        <w:rPr>
          <w:rFonts w:hint="eastAsia" w:ascii="Times New Roman" w:hAnsi="Times New Roman" w:cs="Times New Roman"/>
          <w:color w:val="000000"/>
        </w:rPr>
        <w:t>。3、在建筑物外人员可经过或停留的引下线与接地体连接处3m范围内，应采用防止跨步电压对人员造成伤害。</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主控项目应符合下列规定：1、利用建筑物桩基、梁、柱内钢筋做接地装置的自然接地体和为接地需要而专门埋设的人工接地体，应在地面以上按设计要求的位置设置可供测量、接人工接地体和做等电位连接用的连接板。2、接地装置的接地电阻值应符合设计文件的要求。3、</w:t>
      </w:r>
      <w:r>
        <w:rPr>
          <w:rFonts w:hint="eastAsia" w:ascii="Times New Roman" w:hAnsi="Times New Roman" w:cs="Times New Roman"/>
          <w:color w:val="000000"/>
          <w:u w:val="single"/>
        </w:rPr>
        <w:t>在建筑物外人员可经过或停留的引下线与接地体连接处3m范围内，应采用防止跨步电压对人员造成伤害</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采用防止跨步电压对人员造成伤害的下列一种或多种方法如下：1、</w:t>
      </w:r>
      <w:r>
        <w:rPr>
          <w:rFonts w:hint="eastAsia" w:ascii="Times New Roman" w:hAnsi="Times New Roman" w:cs="Times New Roman"/>
          <w:color w:val="000000"/>
          <w:u w:val="single"/>
        </w:rPr>
        <w:t>铺设使地面电阻率不小于50kΩ·m的5cm厚的沥青层或15cm厚的砾石层</w:t>
      </w:r>
      <w:r>
        <w:rPr>
          <w:rFonts w:hint="eastAsia" w:ascii="Times New Roman" w:hAnsi="Times New Roman" w:cs="Times New Roman"/>
          <w:color w:val="000000"/>
        </w:rPr>
        <w:t>。2、设立阻止人员进入的护栏或警示牌。3、将接地体敷设成水平网格。</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采用防止跨步电压对人员造成伤害的下列一种或多种方法如下：1、铺设使地面电阻率不小于50kΩ·m的5cm厚的沥青层或15cm厚的砾石层。2、</w:t>
      </w:r>
      <w:r>
        <w:rPr>
          <w:rFonts w:hint="eastAsia" w:ascii="Times New Roman" w:hAnsi="Times New Roman" w:cs="Times New Roman"/>
          <w:color w:val="000000"/>
          <w:u w:val="single"/>
        </w:rPr>
        <w:t>设立阻止人员进入的护栏或警示牌</w:t>
      </w:r>
      <w:r>
        <w:rPr>
          <w:rFonts w:hint="eastAsia" w:ascii="Times New Roman" w:hAnsi="Times New Roman" w:cs="Times New Roman"/>
          <w:color w:val="000000"/>
        </w:rPr>
        <w:t>。3、将接地体敷设成水平网格。</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采用防止跨步电压对人员造成伤害的下列一种或多种方法如下：1、铺设使地面电阻率不小于50kΩ·m的5cm厚的沥青层或15cm厚的砾石层。2、设立阻止人员进入的护栏或警示牌。3、</w:t>
      </w:r>
      <w:r>
        <w:rPr>
          <w:rFonts w:hint="eastAsia" w:ascii="Times New Roman" w:hAnsi="Times New Roman" w:cs="Times New Roman"/>
          <w:color w:val="000000"/>
          <w:u w:val="single"/>
        </w:rPr>
        <w:t>将接地体敷设成水平网格</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当设计无要求时，接地装置顶面埋设深度不应小于</w:t>
      </w:r>
      <w:r>
        <w:rPr>
          <w:rFonts w:hint="eastAsia" w:ascii="Times New Roman" w:hAnsi="Times New Roman" w:cs="Times New Roman"/>
          <w:color w:val="000000"/>
          <w:u w:val="single"/>
        </w:rPr>
        <w:t>0.5</w:t>
      </w:r>
      <w:r>
        <w:rPr>
          <w:rFonts w:hint="eastAsia" w:ascii="Times New Roman" w:hAnsi="Times New Roman" w:cs="Times New Roman"/>
          <w:color w:val="000000"/>
        </w:rPr>
        <w:t>m。角钢、钢管、铜棒、铜管等接地体应</w:t>
      </w:r>
      <w:r>
        <w:rPr>
          <w:rFonts w:hint="eastAsia" w:ascii="Times New Roman" w:hAnsi="Times New Roman" w:cs="Times New Roman"/>
          <w:color w:val="000000"/>
          <w:u w:val="single"/>
        </w:rPr>
        <w:t>垂直</w:t>
      </w:r>
      <w:r>
        <w:rPr>
          <w:rFonts w:hint="eastAsia" w:ascii="Times New Roman" w:hAnsi="Times New Roman" w:cs="Times New Roman"/>
          <w:color w:val="000000"/>
        </w:rPr>
        <w:t>配置。人工垂直接地体的长度宜为</w:t>
      </w:r>
      <w:r>
        <w:rPr>
          <w:rFonts w:hint="eastAsia" w:ascii="Times New Roman" w:hAnsi="Times New Roman" w:cs="Times New Roman"/>
          <w:color w:val="000000"/>
          <w:u w:val="single"/>
        </w:rPr>
        <w:t>2.5</w:t>
      </w:r>
      <w:r>
        <w:rPr>
          <w:rFonts w:hint="eastAsia" w:ascii="Times New Roman" w:hAnsi="Times New Roman" w:cs="Times New Roman"/>
          <w:color w:val="000000"/>
        </w:rPr>
        <w:t>m，人工垂直接地体之间的间距不宜小于</w:t>
      </w:r>
      <w:r>
        <w:rPr>
          <w:rFonts w:hint="eastAsia" w:ascii="Times New Roman" w:hAnsi="Times New Roman" w:cs="Times New Roman"/>
          <w:color w:val="000000"/>
          <w:u w:val="single"/>
        </w:rPr>
        <w:t>5</w:t>
      </w:r>
      <w:r>
        <w:rPr>
          <w:rFonts w:hint="eastAsia" w:ascii="Times New Roman" w:hAnsi="Times New Roman" w:cs="Times New Roman"/>
          <w:color w:val="000000"/>
        </w:rPr>
        <w:t>m。人工接地体与建筑物外墙或基础之间的水平距离不宜小于</w:t>
      </w:r>
      <w:r>
        <w:rPr>
          <w:rFonts w:hint="eastAsia" w:ascii="Times New Roman" w:hAnsi="Times New Roman" w:cs="Times New Roman"/>
          <w:color w:val="000000"/>
          <w:u w:val="single"/>
        </w:rPr>
        <w:t>1</w:t>
      </w:r>
      <w:r>
        <w:rPr>
          <w:rFonts w:hint="eastAsia" w:ascii="Times New Roman" w:hAnsi="Times New Roman" w:cs="Times New Roman"/>
          <w:color w:val="000000"/>
        </w:rPr>
        <w:t>m。</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采取下列方法降低接地电阻：1、</w:t>
      </w:r>
      <w:r>
        <w:rPr>
          <w:rFonts w:hint="eastAsia" w:ascii="Times New Roman" w:hAnsi="Times New Roman" w:cs="Times New Roman"/>
          <w:color w:val="000000"/>
          <w:u w:val="single"/>
        </w:rPr>
        <w:t>将垂直接地体深埋到低电阻率的土壤中或扩大接地体与土壤的接触面积</w:t>
      </w:r>
      <w:r>
        <w:rPr>
          <w:rFonts w:hint="eastAsia" w:ascii="Times New Roman" w:hAnsi="Times New Roman" w:cs="Times New Roman"/>
          <w:color w:val="000000"/>
        </w:rPr>
        <w:t>。2、</w:t>
      </w:r>
      <w:r>
        <w:rPr>
          <w:rFonts w:hint="eastAsia" w:ascii="Times New Roman" w:hAnsi="Times New Roman" w:cs="Times New Roman"/>
          <w:color w:val="000000"/>
          <w:u w:val="single"/>
        </w:rPr>
        <w:t>置换成低电阻率的土壤</w:t>
      </w:r>
      <w:r>
        <w:rPr>
          <w:rFonts w:hint="eastAsia" w:ascii="Times New Roman" w:hAnsi="Times New Roman" w:cs="Times New Roman"/>
          <w:color w:val="000000"/>
        </w:rPr>
        <w:t>。3、</w:t>
      </w:r>
      <w:r>
        <w:rPr>
          <w:rFonts w:hint="eastAsia" w:ascii="Times New Roman" w:hAnsi="Times New Roman" w:cs="Times New Roman"/>
          <w:color w:val="000000"/>
          <w:u w:val="single"/>
        </w:rPr>
        <w:t>采用降阻剂或新型接地材料</w:t>
      </w:r>
      <w:r>
        <w:rPr>
          <w:rFonts w:hint="eastAsia" w:ascii="Times New Roman" w:hAnsi="Times New Roman" w:cs="Times New Roman"/>
          <w:color w:val="000000"/>
        </w:rPr>
        <w:t>。4、</w:t>
      </w:r>
      <w:r>
        <w:rPr>
          <w:rFonts w:hint="eastAsia" w:ascii="Times New Roman" w:hAnsi="Times New Roman" w:cs="Times New Roman"/>
          <w:color w:val="000000"/>
          <w:u w:val="single"/>
        </w:rPr>
        <w:t>在永冻土地区和采用深孔（井）技术的降阻方法，应符合现行国家标准《电气装置安装工程  接地装置施工及验收规范 》GB50169-2006中第3.2.10条～第3.2.12条的规定</w:t>
      </w:r>
      <w:r>
        <w:rPr>
          <w:rFonts w:hint="eastAsia" w:ascii="Times New Roman" w:hAnsi="Times New Roman" w:cs="Times New Roman"/>
          <w:color w:val="000000"/>
        </w:rPr>
        <w:t xml:space="preserve">。 </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当接地装置仅用于</w:t>
      </w:r>
      <w:r>
        <w:rPr>
          <w:rFonts w:hint="eastAsia" w:ascii="Times New Roman" w:hAnsi="Times New Roman" w:cs="Times New Roman"/>
          <w:color w:val="000000"/>
          <w:u w:val="single"/>
        </w:rPr>
        <w:t>防雷保护，且当地土壤电阻率较高</w:t>
      </w:r>
      <w:r>
        <w:rPr>
          <w:rFonts w:hint="eastAsia" w:ascii="Times New Roman" w:hAnsi="Times New Roman" w:cs="Times New Roman"/>
          <w:color w:val="000000"/>
        </w:rPr>
        <w:t>，难以达到设计要求的接地电阻值时，可采用现行国家标准《雷电防护 第3部分：建筑物的物理损坏和生命危险》GB/T21714.3-2008中第5.4.2条的规定。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接地体的连接应采用焊接，并宜采用放热焊接（热剂焊）。当采用通用的焊接方法时，应在焊接处做防腐处理。钢材、铜材的焊接应符合下列规定：1、</w:t>
      </w:r>
      <w:r>
        <w:rPr>
          <w:rFonts w:hint="eastAsia" w:ascii="Times New Roman" w:hAnsi="Times New Roman" w:cs="Times New Roman"/>
          <w:color w:val="000000"/>
          <w:u w:val="single"/>
        </w:rPr>
        <w:t>导体为钢材时，焊接时的搭接长度及焊接方法要求应符合GB50601-2010表4.1.2的规定</w:t>
      </w:r>
      <w:r>
        <w:rPr>
          <w:rFonts w:hint="eastAsia" w:ascii="Times New Roman" w:hAnsi="Times New Roman" w:cs="Times New Roman"/>
          <w:color w:val="000000"/>
        </w:rPr>
        <w:t>。2、导体为铜材与铜材或铜材与钢材时，连接工艺应采用放热焊接，熔接接头应将被连接的导体完全包在接头里，要保证连接部位的金属完全熔化，并应连接牢固。</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体的连接应采用焊接，并宜采用放热焊接（热剂焊）。当采用通用的焊接方法时，应在焊接处做防腐处理。钢材、铜材的焊接应符合下列规定：1、导体为钢材时，焊接时的搭接长度及焊接方法要求应符合GB50601-2010表4.1.2的规定。2、</w:t>
      </w:r>
      <w:r>
        <w:rPr>
          <w:rFonts w:hint="eastAsia" w:ascii="Times New Roman" w:hAnsi="Times New Roman" w:cs="Times New Roman"/>
          <w:color w:val="000000"/>
          <w:u w:val="single"/>
        </w:rPr>
        <w:t>导体为铜材与铜材或铜材与钢材时，连接工艺应采用放热焊接，熔接接头应将被连接的导体完全包在接头里，要保证连接部位的金属完全熔化，并应连接牢固</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接地线连接要求及防止发生</w:t>
      </w:r>
      <w:r>
        <w:rPr>
          <w:rFonts w:hint="eastAsia" w:ascii="Times New Roman" w:hAnsi="Times New Roman" w:cs="Times New Roman"/>
          <w:color w:val="000000"/>
          <w:u w:val="single"/>
        </w:rPr>
        <w:t>机械损伤</w:t>
      </w:r>
      <w:r>
        <w:rPr>
          <w:rFonts w:hint="eastAsia" w:ascii="Times New Roman" w:hAnsi="Times New Roman" w:cs="Times New Roman"/>
          <w:color w:val="000000"/>
        </w:rPr>
        <w:t>和</w:t>
      </w:r>
      <w:r>
        <w:rPr>
          <w:rFonts w:hint="eastAsia" w:ascii="Times New Roman" w:hAnsi="Times New Roman" w:cs="Times New Roman"/>
          <w:color w:val="000000"/>
          <w:u w:val="single"/>
        </w:rPr>
        <w:t>化学腐蚀</w:t>
      </w:r>
      <w:r>
        <w:rPr>
          <w:rFonts w:hint="eastAsia" w:ascii="Times New Roman" w:hAnsi="Times New Roman" w:cs="Times New Roman"/>
          <w:color w:val="000000"/>
        </w:rPr>
        <w:t>的措施，应符合现行国家标准《电气装置安装工程  接地装置施工及验收规范》GB50169-2006中第3.2.7、第3.3.1和第3.3.3条的规定。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敷设在土壤中的接地体与混凝土基础中的钢材相连接时，宜采用</w:t>
      </w:r>
      <w:r>
        <w:rPr>
          <w:rFonts w:hint="eastAsia" w:ascii="Times New Roman" w:hAnsi="Times New Roman" w:cs="Times New Roman"/>
          <w:color w:val="000000"/>
          <w:u w:val="single"/>
        </w:rPr>
        <w:t>铜材</w:t>
      </w:r>
      <w:r>
        <w:rPr>
          <w:rFonts w:hint="eastAsia" w:ascii="Times New Roman" w:hAnsi="Times New Roman" w:cs="Times New Roman"/>
          <w:color w:val="000000"/>
        </w:rPr>
        <w:t>或</w:t>
      </w:r>
      <w:r>
        <w:rPr>
          <w:rFonts w:hint="eastAsia" w:ascii="Times New Roman" w:hAnsi="Times New Roman" w:cs="Times New Roman"/>
          <w:color w:val="000000"/>
          <w:u w:val="single"/>
        </w:rPr>
        <w:t>不锈钢材料</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自然接地体底板钢筋敷设完成，应按设计要求做接地施工，应经检查确认并做</w:t>
      </w:r>
      <w:r>
        <w:rPr>
          <w:rFonts w:hint="eastAsia" w:ascii="Times New Roman" w:hAnsi="Times New Roman" w:cs="Times New Roman"/>
          <w:color w:val="000000"/>
          <w:u w:val="single"/>
        </w:rPr>
        <w:t>隐蔽工程验收记录</w:t>
      </w:r>
      <w:r>
        <w:rPr>
          <w:rFonts w:hint="eastAsia" w:ascii="Times New Roman" w:hAnsi="Times New Roman" w:cs="Times New Roman"/>
          <w:color w:val="000000"/>
        </w:rPr>
        <w:t>后再支模或浇捣混凝土。</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人工接地体应按设计要求位置开挖沟槽，打入</w:t>
      </w:r>
      <w:r>
        <w:rPr>
          <w:rFonts w:hint="eastAsia" w:ascii="Times New Roman" w:hAnsi="Times New Roman" w:cs="Times New Roman"/>
          <w:color w:val="000000"/>
          <w:u w:val="single"/>
        </w:rPr>
        <w:t>人工垂直接地体或敷设金属接地模块（管）和使用人工水平接地体</w:t>
      </w:r>
      <w:r>
        <w:rPr>
          <w:rFonts w:hint="eastAsia" w:ascii="Times New Roman" w:hAnsi="Times New Roman" w:cs="Times New Roman"/>
          <w:color w:val="000000"/>
        </w:rPr>
        <w:t>进行电气连接，应经检查确认并做隐蔽工程验收记录。</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接地装置隐蔽应经</w:t>
      </w:r>
      <w:r>
        <w:rPr>
          <w:rFonts w:hint="eastAsia" w:ascii="Times New Roman" w:hAnsi="Times New Roman" w:cs="Times New Roman"/>
          <w:color w:val="000000"/>
          <w:u w:val="single"/>
        </w:rPr>
        <w:t>检查验收合格</w:t>
      </w:r>
      <w:r>
        <w:rPr>
          <w:rFonts w:hint="eastAsia" w:ascii="Times New Roman" w:hAnsi="Times New Roman" w:cs="Times New Roman"/>
          <w:color w:val="000000"/>
        </w:rPr>
        <w:t>后再覆土回填。</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解析：GB50601-2010《建筑物防雷工程施工与质量验收规范》第4.2.3条。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引下线的安装布置应符合现行国家标准《建筑物防雷设计规范》GB50057的有关规定，第一类、第二类和第三类防雷建筑物专设引下线不应少于两根，并应沿建筑物周围</w:t>
      </w:r>
      <w:r>
        <w:rPr>
          <w:rFonts w:hint="eastAsia" w:ascii="Times New Roman" w:hAnsi="Times New Roman" w:cs="Times New Roman"/>
          <w:color w:val="000000"/>
          <w:u w:val="single"/>
        </w:rPr>
        <w:t>均匀</w:t>
      </w:r>
      <w:r>
        <w:rPr>
          <w:rFonts w:hint="eastAsia" w:ascii="Times New Roman" w:hAnsi="Times New Roman" w:cs="Times New Roman"/>
          <w:color w:val="000000"/>
        </w:rPr>
        <w:t>布设，其平均间距分别不应大于</w:t>
      </w:r>
      <w:r>
        <w:rPr>
          <w:rFonts w:hint="eastAsia" w:ascii="Times New Roman" w:hAnsi="Times New Roman" w:cs="Times New Roman"/>
          <w:color w:val="000000"/>
          <w:u w:val="single"/>
        </w:rPr>
        <w:t>12m、18m和25m</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明敷的专用引下线应</w:t>
      </w:r>
      <w:r>
        <w:rPr>
          <w:rFonts w:hint="eastAsia" w:ascii="Times New Roman" w:hAnsi="Times New Roman" w:cs="Times New Roman"/>
          <w:color w:val="000000"/>
          <w:u w:val="single"/>
        </w:rPr>
        <w:t>分段</w:t>
      </w:r>
      <w:r>
        <w:rPr>
          <w:rFonts w:hint="eastAsia" w:ascii="Times New Roman" w:hAnsi="Times New Roman" w:cs="Times New Roman"/>
          <w:color w:val="000000"/>
        </w:rPr>
        <w:t>固定，并应以最短路径敷设到接地体，敷设应</w:t>
      </w:r>
      <w:r>
        <w:rPr>
          <w:rFonts w:hint="eastAsia" w:ascii="Times New Roman" w:hAnsi="Times New Roman" w:cs="Times New Roman"/>
          <w:color w:val="000000"/>
          <w:u w:val="single"/>
        </w:rPr>
        <w:t>平正顺直、无急弯</w:t>
      </w:r>
      <w:r>
        <w:rPr>
          <w:rFonts w:hint="eastAsia" w:ascii="Times New Roman" w:hAnsi="Times New Roman" w:cs="Times New Roman"/>
          <w:color w:val="000000"/>
        </w:rPr>
        <w:t>。焊接固定的焊缝应</w:t>
      </w:r>
      <w:r>
        <w:rPr>
          <w:rFonts w:hint="eastAsia" w:ascii="Times New Roman" w:hAnsi="Times New Roman" w:cs="Times New Roman"/>
          <w:color w:val="000000"/>
          <w:u w:val="single"/>
        </w:rPr>
        <w:t>饱满无遗漏</w:t>
      </w:r>
      <w:r>
        <w:rPr>
          <w:rFonts w:hint="eastAsia" w:ascii="Times New Roman" w:hAnsi="Times New Roman" w:cs="Times New Roman"/>
          <w:color w:val="000000"/>
        </w:rPr>
        <w:t>，螺栓固定应有防松零件（垫圈），焊接部分的</w:t>
      </w:r>
      <w:r>
        <w:rPr>
          <w:rFonts w:hint="eastAsia" w:ascii="Times New Roman" w:hAnsi="Times New Roman" w:cs="Times New Roman"/>
          <w:color w:val="000000"/>
          <w:u w:val="single"/>
        </w:rPr>
        <w:t>防腐</w:t>
      </w:r>
      <w:r>
        <w:rPr>
          <w:rFonts w:hint="eastAsia" w:ascii="Times New Roman" w:hAnsi="Times New Roman" w:cs="Times New Roman"/>
          <w:color w:val="000000"/>
        </w:rPr>
        <w:t>应完整。</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建筑物外的引下线敷设在人员可停留或经过的区域时，应采用下列一种或多种方法，防止接触电压和旁侧闪络电压对人员造成伤害： 1：</w:t>
      </w:r>
      <w:r>
        <w:rPr>
          <w:rFonts w:hint="eastAsia" w:ascii="Times New Roman" w:hAnsi="Times New Roman" w:cs="Times New Roman"/>
          <w:color w:val="000000"/>
          <w:u w:val="single"/>
        </w:rPr>
        <w:t>外露引下线在高2.7m以下部分穿不小于3mm厚的交联聚乙烯管，交联聚乙烯管应能耐受100kV冲击电压（1.2/50μs波形）</w:t>
      </w:r>
      <w:r>
        <w:rPr>
          <w:rFonts w:hint="eastAsia" w:ascii="Times New Roman" w:hAnsi="Times New Roman" w:cs="Times New Roman"/>
          <w:color w:val="000000"/>
        </w:rPr>
        <w:t>。2：应设立阻止人员进入的护拦或警示牌。护拦与引下线水平距离不应小于3 m。</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建筑物外的引下线敷设在人员可停留或经过的区域时，应采用下列一种或多种方法，防止接触电压和旁侧闪络电压对人员造成伤害： 1：外露引下线在高2.7m以下部分穿不小于3mm厚的交联聚乙烯管，交联聚乙烯管应能耐受100kV冲击电压（1.2/50μs波形）。2：</w:t>
      </w:r>
      <w:r>
        <w:rPr>
          <w:rFonts w:hint="eastAsia" w:ascii="Times New Roman" w:hAnsi="Times New Roman" w:cs="Times New Roman"/>
          <w:color w:val="000000"/>
          <w:u w:val="single"/>
        </w:rPr>
        <w:t>应设立阻止人员进入的护拦或警示牌。护拦与引下线水平距离不应小于3 m</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引下线上应无附着的</w:t>
      </w:r>
      <w:r>
        <w:rPr>
          <w:rFonts w:hint="eastAsia" w:ascii="Times New Roman" w:hAnsi="Times New Roman" w:cs="Times New Roman"/>
          <w:color w:val="000000"/>
          <w:u w:val="single"/>
        </w:rPr>
        <w:t>其他电气线路</w:t>
      </w:r>
      <w:r>
        <w:rPr>
          <w:rFonts w:hint="eastAsia" w:ascii="Times New Roman" w:hAnsi="Times New Roman" w:cs="Times New Roman"/>
          <w:color w:val="000000"/>
        </w:rPr>
        <w:t>，在通信塔或其他高耸金属构架起接闪作用的金属物上敷设电气线路时，线路应采用直埋于土壤中的</w:t>
      </w:r>
      <w:r>
        <w:rPr>
          <w:rFonts w:hint="eastAsia" w:ascii="Times New Roman" w:hAnsi="Times New Roman" w:cs="Times New Roman"/>
          <w:color w:val="000000"/>
          <w:u w:val="single"/>
        </w:rPr>
        <w:t>铠装电缆或穿金属管敷设的导线</w:t>
      </w:r>
      <w:r>
        <w:rPr>
          <w:rFonts w:hint="eastAsia" w:ascii="Times New Roman" w:hAnsi="Times New Roman" w:cs="Times New Roman"/>
          <w:color w:val="000000"/>
        </w:rPr>
        <w:t>。电缆的金属护层或金属管应</w:t>
      </w:r>
      <w:r>
        <w:rPr>
          <w:rFonts w:hint="eastAsia" w:ascii="Times New Roman" w:hAnsi="Times New Roman" w:cs="Times New Roman"/>
          <w:color w:val="000000"/>
          <w:u w:val="single"/>
        </w:rPr>
        <w:t>两端</w:t>
      </w:r>
      <w:r>
        <w:rPr>
          <w:rFonts w:hint="eastAsia" w:ascii="Times New Roman" w:hAnsi="Times New Roman" w:cs="Times New Roman"/>
          <w:color w:val="000000"/>
        </w:rPr>
        <w:t>接地，埋入土壤中的长度不应小于</w:t>
      </w:r>
      <w:r>
        <w:rPr>
          <w:rFonts w:hint="eastAsia" w:ascii="Times New Roman" w:hAnsi="Times New Roman" w:cs="Times New Roman"/>
          <w:color w:val="000000"/>
          <w:u w:val="single"/>
        </w:rPr>
        <w:t>10m</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引下线安装与易燃材料的墙壁或墙体保温层间距应大于</w:t>
      </w:r>
      <w:r>
        <w:rPr>
          <w:rFonts w:hint="eastAsia" w:ascii="Times New Roman" w:hAnsi="Times New Roman" w:cs="Times New Roman"/>
          <w:color w:val="000000"/>
          <w:u w:val="single"/>
        </w:rPr>
        <w:t>0.1</w:t>
      </w:r>
      <w:r>
        <w:rPr>
          <w:rFonts w:hint="eastAsia" w:ascii="Times New Roman" w:hAnsi="Times New Roman" w:cs="Times New Roman"/>
          <w:color w:val="000000"/>
        </w:rPr>
        <w:t>m。</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引下线可利用建筑物的钢梁、钢柱、消防梯等金属构件作为自然引下线，金属构件之间应</w:t>
      </w:r>
      <w:r>
        <w:rPr>
          <w:rFonts w:hint="eastAsia" w:ascii="Times New Roman" w:hAnsi="Times New Roman" w:cs="Times New Roman"/>
          <w:color w:val="000000"/>
          <w:u w:val="single"/>
        </w:rPr>
        <w:t>电气贯通</w:t>
      </w:r>
      <w:r>
        <w:rPr>
          <w:rFonts w:hint="eastAsia" w:ascii="Times New Roman" w:hAnsi="Times New Roman" w:cs="Times New Roman"/>
          <w:color w:val="000000"/>
        </w:rPr>
        <w:t>。当利用混凝土内钢筋、钢柱作为自然引下线并采用基础钢筋接地体时，不宜设置</w:t>
      </w:r>
      <w:r>
        <w:rPr>
          <w:rFonts w:hint="eastAsia" w:ascii="Times New Roman" w:hAnsi="Times New Roman" w:cs="Times New Roman"/>
          <w:color w:val="000000"/>
          <w:u w:val="single"/>
        </w:rPr>
        <w:t>断接卡</w:t>
      </w:r>
      <w:r>
        <w:rPr>
          <w:rFonts w:hint="eastAsia" w:ascii="Times New Roman" w:hAnsi="Times New Roman" w:cs="Times New Roman"/>
          <w:color w:val="000000"/>
        </w:rPr>
        <w:t>，但应在室外墙体上留出供测量用的测接地电阻孔洞及与引下线相连的</w:t>
      </w:r>
      <w:r>
        <w:rPr>
          <w:rFonts w:hint="eastAsia" w:ascii="Times New Roman" w:hAnsi="Times New Roman" w:cs="Times New Roman"/>
          <w:color w:val="000000"/>
          <w:u w:val="single"/>
        </w:rPr>
        <w:t>测试点接头</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在易受机械损伤之处，地面上</w:t>
      </w:r>
      <w:r>
        <w:rPr>
          <w:rFonts w:hint="eastAsia" w:ascii="Times New Roman" w:hAnsi="Times New Roman" w:cs="Times New Roman"/>
          <w:color w:val="000000"/>
          <w:u w:val="single"/>
        </w:rPr>
        <w:t>1.7m</w:t>
      </w:r>
      <w:r>
        <w:rPr>
          <w:rFonts w:hint="eastAsia" w:ascii="Times New Roman" w:hAnsi="Times New Roman" w:cs="Times New Roman"/>
          <w:color w:val="000000"/>
        </w:rPr>
        <w:t>至地面下</w:t>
      </w:r>
      <w:r>
        <w:rPr>
          <w:rFonts w:hint="eastAsia" w:ascii="Times New Roman" w:hAnsi="Times New Roman" w:cs="Times New Roman"/>
          <w:color w:val="000000"/>
          <w:u w:val="single"/>
        </w:rPr>
        <w:t>0.3m</w:t>
      </w:r>
      <w:r>
        <w:rPr>
          <w:rFonts w:hint="eastAsia" w:ascii="Times New Roman" w:hAnsi="Times New Roman" w:cs="Times New Roman"/>
          <w:color w:val="000000"/>
        </w:rPr>
        <w:t>的一段接地应采用暗敷保护，也可采用镀锌角钢、改性塑料管或橡胶等保护，并应在每一根引下线上距地面不低于</w:t>
      </w:r>
      <w:r>
        <w:rPr>
          <w:rFonts w:hint="eastAsia" w:ascii="Times New Roman" w:hAnsi="Times New Roman" w:cs="Times New Roman"/>
          <w:color w:val="000000"/>
          <w:u w:val="single"/>
        </w:rPr>
        <w:t>0.3m</w:t>
      </w:r>
      <w:r>
        <w:rPr>
          <w:rFonts w:hint="eastAsia" w:ascii="Times New Roman" w:hAnsi="Times New Roman" w:cs="Times New Roman"/>
          <w:color w:val="000000"/>
        </w:rPr>
        <w:t>处设置断接卡连接。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引下线不应敷设在</w:t>
      </w:r>
      <w:r>
        <w:rPr>
          <w:rFonts w:hint="eastAsia" w:ascii="Times New Roman" w:hAnsi="Times New Roman" w:cs="Times New Roman"/>
          <w:color w:val="000000"/>
          <w:u w:val="single"/>
        </w:rPr>
        <w:t>下水管道</w:t>
      </w:r>
      <w:r>
        <w:rPr>
          <w:rFonts w:hint="eastAsia" w:ascii="Times New Roman" w:hAnsi="Times New Roman" w:cs="Times New Roman"/>
          <w:color w:val="000000"/>
        </w:rPr>
        <w:t>内，并不宜敷设在</w:t>
      </w:r>
      <w:r>
        <w:rPr>
          <w:rFonts w:hint="eastAsia" w:ascii="Times New Roman" w:hAnsi="Times New Roman" w:cs="Times New Roman"/>
          <w:color w:val="000000"/>
          <w:u w:val="single"/>
        </w:rPr>
        <w:t>排水槽沟</w:t>
      </w:r>
      <w:r>
        <w:rPr>
          <w:rFonts w:hint="eastAsia" w:ascii="Times New Roman" w:hAnsi="Times New Roman" w:cs="Times New Roman"/>
          <w:color w:val="000000"/>
        </w:rPr>
        <w:t>内。</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利用建筑物柱内钢筋作为引下线，在柱内主钢筋</w:t>
      </w:r>
      <w:r>
        <w:rPr>
          <w:rFonts w:hint="eastAsia" w:ascii="Times New Roman" w:hAnsi="Times New Roman" w:cs="Times New Roman"/>
          <w:color w:val="000000"/>
          <w:u w:val="single"/>
        </w:rPr>
        <w:t>绑扎或焊接</w:t>
      </w:r>
      <w:r>
        <w:rPr>
          <w:rFonts w:hint="eastAsia" w:ascii="Times New Roman" w:hAnsi="Times New Roman" w:cs="Times New Roman"/>
          <w:color w:val="000000"/>
        </w:rPr>
        <w:t>连接后，应做标志，并应按设计要求施工，应经检查确认记录后再支模。</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直接从</w:t>
      </w:r>
      <w:r>
        <w:rPr>
          <w:rFonts w:hint="eastAsia" w:ascii="Times New Roman" w:hAnsi="Times New Roman" w:cs="Times New Roman"/>
          <w:color w:val="000000"/>
          <w:u w:val="single"/>
        </w:rPr>
        <w:t>基础接地体或人工接地体</w:t>
      </w:r>
      <w:r>
        <w:rPr>
          <w:rFonts w:hint="eastAsia" w:ascii="Times New Roman" w:hAnsi="Times New Roman" w:cs="Times New Roman"/>
          <w:color w:val="000000"/>
        </w:rPr>
        <w:t>引出的专用引下线，应先按设计要求安装固定支架，并应经检查确认后再敷设引下线。</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解析：GB50601-2010《建筑物防雷工程施工与质量验收规范》第5.2.2条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建筑物顶部和外墙上的接闪器必须与建筑物</w:t>
      </w:r>
      <w:r>
        <w:rPr>
          <w:rFonts w:hint="eastAsia" w:ascii="Times New Roman" w:hAnsi="Times New Roman" w:cs="Times New Roman"/>
          <w:color w:val="000000"/>
          <w:u w:val="single"/>
        </w:rPr>
        <w:t>栏杆、旗杆、吊车梁、管道、设备、太阳能热水器、门窗、幕墙支架</w:t>
      </w:r>
      <w:r>
        <w:rPr>
          <w:rFonts w:hint="eastAsia" w:ascii="Times New Roman" w:hAnsi="Times New Roman" w:cs="Times New Roman"/>
          <w:color w:val="000000"/>
        </w:rPr>
        <w:t>等外露的金属物进行电气连接。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位于建筑物顶部的接闪导线可按工程设计文件要求暗敷在</w:t>
      </w:r>
      <w:r>
        <w:rPr>
          <w:rFonts w:hint="eastAsia" w:ascii="Times New Roman" w:hAnsi="Times New Roman" w:cs="Times New Roman"/>
          <w:color w:val="000000"/>
          <w:u w:val="single"/>
        </w:rPr>
        <w:t>混凝土墙或混凝土屋面内</w:t>
      </w:r>
      <w:r>
        <w:rPr>
          <w:rFonts w:hint="eastAsia" w:ascii="Times New Roman" w:hAnsi="Times New Roman" w:cs="Times New Roman"/>
          <w:color w:val="000000"/>
        </w:rPr>
        <w:t>。当采用暗敷时，作为接闪导线的钢筋施工应符合现行国家标准《混凝土结构工程施工质量验收规范》GB50204中第5章的规定。高层建筑物的接闪器应采取</w:t>
      </w:r>
      <w:r>
        <w:rPr>
          <w:rFonts w:hint="eastAsia" w:ascii="Times New Roman" w:hAnsi="Times New Roman" w:cs="Times New Roman"/>
          <w:color w:val="000000"/>
          <w:u w:val="single"/>
        </w:rPr>
        <w:t>明敷</w:t>
      </w:r>
      <w:r>
        <w:rPr>
          <w:rFonts w:hint="eastAsia" w:ascii="Times New Roman" w:hAnsi="Times New Roman" w:cs="Times New Roman"/>
          <w:color w:val="000000"/>
        </w:rPr>
        <w:t>方法。在多雷区，宜在</w:t>
      </w:r>
      <w:r>
        <w:rPr>
          <w:rFonts w:hint="eastAsia" w:ascii="Times New Roman" w:hAnsi="Times New Roman" w:cs="Times New Roman"/>
          <w:color w:val="000000"/>
          <w:u w:val="single"/>
        </w:rPr>
        <w:t>屋面拐角处</w:t>
      </w:r>
      <w:r>
        <w:rPr>
          <w:rFonts w:hint="eastAsia" w:ascii="Times New Roman" w:hAnsi="Times New Roman" w:cs="Times New Roman"/>
          <w:color w:val="000000"/>
        </w:rPr>
        <w:t>安装短接闪杆。</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专用接闪杆应能承受</w:t>
      </w:r>
      <w:r>
        <w:rPr>
          <w:rFonts w:hint="eastAsia" w:ascii="Times New Roman" w:hAnsi="Times New Roman" w:cs="Times New Roman"/>
          <w:color w:val="000000"/>
          <w:u w:val="single"/>
        </w:rPr>
        <w:t>0.7kN/m</w:t>
      </w:r>
      <w:r>
        <w:rPr>
          <w:rFonts w:hint="eastAsia" w:ascii="Times New Roman" w:hAnsi="Times New Roman" w:cs="Times New Roman"/>
          <w:color w:val="000000"/>
          <w:u w:val="single"/>
          <w:vertAlign w:val="superscript"/>
        </w:rPr>
        <w:t>2</w:t>
      </w:r>
      <w:r>
        <w:rPr>
          <w:rFonts w:hint="eastAsia" w:ascii="Times New Roman" w:hAnsi="Times New Roman" w:cs="Times New Roman"/>
          <w:color w:val="000000"/>
        </w:rPr>
        <w:t>的基本风压，在经常发生</w:t>
      </w:r>
      <w:r>
        <w:rPr>
          <w:rFonts w:hint="eastAsia" w:ascii="Times New Roman" w:hAnsi="Times New Roman" w:cs="Times New Roman"/>
          <w:color w:val="000000"/>
          <w:u w:val="single"/>
        </w:rPr>
        <w:t>台风和大于11级大风</w:t>
      </w:r>
      <w:r>
        <w:rPr>
          <w:rFonts w:hint="eastAsia" w:ascii="Times New Roman" w:hAnsi="Times New Roman" w:cs="Times New Roman"/>
          <w:color w:val="000000"/>
        </w:rPr>
        <w:t>的地区，宜增大接闪杆的尺寸。</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当利用建筑物</w:t>
      </w:r>
      <w:r>
        <w:rPr>
          <w:rFonts w:hint="eastAsia" w:ascii="Times New Roman" w:hAnsi="Times New Roman" w:cs="Times New Roman"/>
          <w:color w:val="000000"/>
          <w:u w:val="single"/>
        </w:rPr>
        <w:t>金属屋面、旗杆、铁塔</w:t>
      </w:r>
      <w:r>
        <w:rPr>
          <w:rFonts w:hint="eastAsia" w:ascii="Times New Roman" w:hAnsi="Times New Roman" w:cs="Times New Roman"/>
          <w:color w:val="000000"/>
        </w:rPr>
        <w:t>等金属物做接闪器时，金属物的材料、规格应符合本规范附录B的有关规定。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专用接闪杆位置应正确，焊接固定的焊缝应</w:t>
      </w:r>
      <w:r>
        <w:rPr>
          <w:rFonts w:hint="eastAsia" w:ascii="Times New Roman" w:hAnsi="Times New Roman" w:cs="Times New Roman"/>
          <w:color w:val="000000"/>
          <w:u w:val="single"/>
        </w:rPr>
        <w:t>饱满无遗漏</w:t>
      </w:r>
      <w:r>
        <w:rPr>
          <w:rFonts w:hint="eastAsia" w:ascii="Times New Roman" w:hAnsi="Times New Roman" w:cs="Times New Roman"/>
          <w:color w:val="000000"/>
        </w:rPr>
        <w:t>，焊接部分</w:t>
      </w:r>
      <w:r>
        <w:rPr>
          <w:rFonts w:hint="eastAsia" w:ascii="Times New Roman" w:hAnsi="Times New Roman" w:cs="Times New Roman"/>
          <w:color w:val="000000"/>
          <w:u w:val="single"/>
        </w:rPr>
        <w:t>防腐</w:t>
      </w:r>
      <w:r>
        <w:rPr>
          <w:rFonts w:hint="eastAsia" w:ascii="Times New Roman" w:hAnsi="Times New Roman" w:cs="Times New Roman"/>
          <w:color w:val="000000"/>
        </w:rPr>
        <w:t>应完整。接闪导线应</w:t>
      </w:r>
      <w:r>
        <w:rPr>
          <w:rFonts w:hint="eastAsia" w:ascii="Times New Roman" w:hAnsi="Times New Roman" w:cs="Times New Roman"/>
          <w:color w:val="000000"/>
          <w:u w:val="single"/>
        </w:rPr>
        <w:t>位置正确、平正顺直、无急弯</w:t>
      </w:r>
      <w:r>
        <w:rPr>
          <w:rFonts w:hint="eastAsia" w:ascii="Times New Roman" w:hAnsi="Times New Roman" w:cs="Times New Roman"/>
          <w:color w:val="000000"/>
        </w:rPr>
        <w:t>。焊接的焊缝应</w:t>
      </w:r>
      <w:r>
        <w:rPr>
          <w:rFonts w:hint="eastAsia" w:ascii="Times New Roman" w:hAnsi="Times New Roman" w:cs="Times New Roman"/>
          <w:color w:val="000000"/>
          <w:u w:val="single"/>
        </w:rPr>
        <w:t>饱满无遗漏</w:t>
      </w:r>
      <w:r>
        <w:rPr>
          <w:rFonts w:hint="eastAsia" w:ascii="Times New Roman" w:hAnsi="Times New Roman" w:cs="Times New Roman"/>
          <w:color w:val="000000"/>
        </w:rPr>
        <w:t>，螺栓固定的应有</w:t>
      </w:r>
      <w:r>
        <w:rPr>
          <w:rFonts w:hint="eastAsia" w:ascii="Times New Roman" w:hAnsi="Times New Roman" w:cs="Times New Roman"/>
          <w:color w:val="000000"/>
          <w:u w:val="single"/>
        </w:rPr>
        <w:t>防松零件</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固定接闪导线的固定支架应固定可靠，每个固定支架应能承受</w:t>
      </w:r>
      <w:r>
        <w:rPr>
          <w:rFonts w:hint="eastAsia" w:ascii="Times New Roman" w:hAnsi="Times New Roman" w:cs="Times New Roman"/>
          <w:color w:val="000000"/>
          <w:u w:val="single"/>
        </w:rPr>
        <w:t>49N</w:t>
      </w:r>
      <w:r>
        <w:rPr>
          <w:rFonts w:hint="eastAsia" w:ascii="Times New Roman" w:hAnsi="Times New Roman" w:cs="Times New Roman"/>
          <w:color w:val="000000"/>
        </w:rPr>
        <w:t>的垂直拉力。固定支架应</w:t>
      </w:r>
      <w:r>
        <w:rPr>
          <w:rFonts w:hint="eastAsia" w:ascii="Times New Roman" w:hAnsi="Times New Roman" w:cs="Times New Roman"/>
          <w:color w:val="000000"/>
          <w:u w:val="single"/>
        </w:rPr>
        <w:t>均匀</w:t>
      </w:r>
      <w:r>
        <w:rPr>
          <w:rFonts w:hint="eastAsia" w:ascii="Times New Roman" w:hAnsi="Times New Roman" w:cs="Times New Roman"/>
          <w:color w:val="000000"/>
        </w:rPr>
        <w:t>，并应符合本规范表5.1.2的要求。</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暗敷在建筑物混凝土中的接闪导线，在主筋</w:t>
      </w:r>
      <w:r>
        <w:rPr>
          <w:rFonts w:hint="eastAsia" w:ascii="Times New Roman" w:hAnsi="Times New Roman" w:cs="Times New Roman"/>
          <w:color w:val="000000"/>
          <w:u w:val="single"/>
        </w:rPr>
        <w:t>绑扎</w:t>
      </w:r>
      <w:r>
        <w:rPr>
          <w:rFonts w:hint="eastAsia" w:ascii="Times New Roman" w:hAnsi="Times New Roman" w:cs="Times New Roman"/>
          <w:color w:val="000000"/>
        </w:rPr>
        <w:t>或认定主筋进行</w:t>
      </w:r>
      <w:r>
        <w:rPr>
          <w:rFonts w:hint="eastAsia" w:ascii="Times New Roman" w:hAnsi="Times New Roman" w:cs="Times New Roman"/>
          <w:color w:val="000000"/>
          <w:u w:val="single"/>
        </w:rPr>
        <w:t>焊接</w:t>
      </w:r>
      <w:r>
        <w:rPr>
          <w:rFonts w:hint="eastAsia" w:ascii="Times New Roman" w:hAnsi="Times New Roman" w:cs="Times New Roman"/>
          <w:color w:val="000000"/>
        </w:rPr>
        <w:t>，并做好标志后，应按设计要求施工，并应经检查确认隐蔽工程验收记录后再支模或浇捣混凝土。</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明敷在建筑物上的接闪器应在</w:t>
      </w:r>
      <w:r>
        <w:rPr>
          <w:rFonts w:hint="eastAsia" w:ascii="Times New Roman" w:hAnsi="Times New Roman" w:cs="Times New Roman"/>
          <w:color w:val="000000"/>
          <w:u w:val="single"/>
        </w:rPr>
        <w:t>接地装置和引下线</w:t>
      </w:r>
      <w:r>
        <w:rPr>
          <w:rFonts w:hint="eastAsia" w:ascii="Times New Roman" w:hAnsi="Times New Roman" w:cs="Times New Roman"/>
          <w:color w:val="000000"/>
        </w:rPr>
        <w:t>施工完成后再安装，并应与引下线电气连接。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解析：GB50601-2010《建筑物防雷工程施工与质量验收规范》第6.22条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在建筑物入户处应做</w:t>
      </w:r>
      <w:r>
        <w:rPr>
          <w:rFonts w:hint="eastAsia" w:ascii="Times New Roman" w:hAnsi="Times New Roman" w:cs="Times New Roman"/>
          <w:color w:val="000000"/>
          <w:u w:val="single"/>
        </w:rPr>
        <w:t>总等电位连接</w:t>
      </w:r>
      <w:r>
        <w:rPr>
          <w:rFonts w:hint="eastAsia" w:ascii="Times New Roman" w:hAnsi="Times New Roman" w:cs="Times New Roman"/>
          <w:color w:val="000000"/>
        </w:rPr>
        <w:t>。建筑物等电位连接干线与接地装置应有不少于</w:t>
      </w:r>
      <w:r>
        <w:rPr>
          <w:rFonts w:hint="eastAsia" w:ascii="Times New Roman" w:hAnsi="Times New Roman" w:cs="Times New Roman"/>
          <w:color w:val="000000"/>
          <w:u w:val="single"/>
        </w:rPr>
        <w:t>2</w:t>
      </w:r>
      <w:r>
        <w:rPr>
          <w:rFonts w:hint="eastAsia" w:ascii="Times New Roman" w:hAnsi="Times New Roman" w:cs="Times New Roman"/>
          <w:color w:val="000000"/>
        </w:rPr>
        <w:t>处的直接连接。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解析：GB50601-2010《建筑物防雷工程施工与质量验收规范》第7.1.1条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一类防雷建筑物和具有</w:t>
      </w:r>
      <w:r>
        <w:rPr>
          <w:rFonts w:hint="eastAsia" w:ascii="Times New Roman" w:hAnsi="Times New Roman" w:cs="Times New Roman"/>
          <w:color w:val="000000"/>
          <w:u w:val="single"/>
        </w:rPr>
        <w:t>1区、2区、21区及22区</w:t>
      </w:r>
      <w:r>
        <w:rPr>
          <w:rFonts w:hint="eastAsia" w:ascii="Times New Roman" w:hAnsi="Times New Roman" w:cs="Times New Roman"/>
          <w:color w:val="000000"/>
        </w:rPr>
        <w:t>爆炸危险场所的第二类防雷建筑物内、外的金属管道、构架和电缆金属外皮等长金属物的跨接，应符合现行国家标准《建筑物防雷设计规范》GB50057的有关规定。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解析：GB50601-2010《建筑物防雷工程施工与质量验收规范》第7.1.1条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在建筑物入户处的总等电位连接，应对</w:t>
      </w:r>
      <w:r>
        <w:rPr>
          <w:rFonts w:hint="eastAsia" w:ascii="Times New Roman" w:hAnsi="Times New Roman" w:cs="Times New Roman"/>
          <w:color w:val="000000"/>
          <w:u w:val="single"/>
        </w:rPr>
        <w:t>入户金属管线和总等电位连接板</w:t>
      </w:r>
      <w:r>
        <w:rPr>
          <w:rFonts w:hint="eastAsia" w:ascii="Times New Roman" w:hAnsi="Times New Roman" w:cs="Times New Roman"/>
          <w:color w:val="000000"/>
        </w:rPr>
        <w:t>的位置检查确认后再设置与接地装置连接的总等电位连接板，并应按设计要求做等电位连接。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解析：GB50601-2010《建筑物防雷工程施工与质量验收规范》第7.2.1条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在后续防雷区交界处，应对供连接用的</w:t>
      </w:r>
      <w:r>
        <w:rPr>
          <w:rFonts w:hint="eastAsia" w:ascii="Times New Roman" w:hAnsi="Times New Roman" w:cs="Times New Roman"/>
          <w:color w:val="000000"/>
          <w:u w:val="single"/>
        </w:rPr>
        <w:t>等电位连接板和需要连接的金属物体</w:t>
      </w:r>
      <w:r>
        <w:rPr>
          <w:rFonts w:hint="eastAsia" w:ascii="Times New Roman" w:hAnsi="Times New Roman" w:cs="Times New Roman"/>
          <w:color w:val="000000"/>
        </w:rPr>
        <w:t>的位置检查确认记录后再设置与建筑物主筋连接的等电位连接板，并应按设计要求做等电位连接。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解析：GB50601-2010《建筑物防雷工程施工与质量验收规范》第7.2.2条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在确认网形结构等电位连接网与建筑物内钢筋或钢构件连接点的位置、信息技术设备的位置后，应按设计要求施工。网形结构等电位连接网的周边宜每隔</w:t>
      </w:r>
      <w:r>
        <w:rPr>
          <w:rFonts w:hint="eastAsia" w:ascii="Times New Roman" w:hAnsi="Times New Roman" w:cs="Times New Roman"/>
          <w:color w:val="000000"/>
          <w:u w:val="single"/>
        </w:rPr>
        <w:t>5m</w:t>
      </w:r>
      <w:r>
        <w:rPr>
          <w:rFonts w:hint="eastAsia" w:ascii="Times New Roman" w:hAnsi="Times New Roman" w:cs="Times New Roman"/>
          <w:color w:val="000000"/>
        </w:rPr>
        <w:t>与建筑物内的钢筋或钢结构连接一次。电子系统模拟线路工作频率小于300kHz时，可在选择与接地系统</w:t>
      </w:r>
      <w:r>
        <w:rPr>
          <w:rFonts w:hint="eastAsia" w:ascii="Times New Roman" w:hAnsi="Times New Roman" w:cs="Times New Roman"/>
          <w:color w:val="000000"/>
          <w:u w:val="single"/>
        </w:rPr>
        <w:t>最接近的位置</w:t>
      </w:r>
      <w:r>
        <w:rPr>
          <w:rFonts w:hint="eastAsia" w:ascii="Times New Roman" w:hAnsi="Times New Roman" w:cs="Times New Roman"/>
          <w:color w:val="000000"/>
        </w:rPr>
        <w:t>设置接地基准点后，再按</w:t>
      </w:r>
      <w:r>
        <w:rPr>
          <w:rFonts w:hint="eastAsia" w:ascii="Times New Roman" w:hAnsi="Times New Roman" w:cs="Times New Roman"/>
          <w:color w:val="000000"/>
          <w:u w:val="single"/>
        </w:rPr>
        <w:t>星形结构</w:t>
      </w:r>
      <w:r>
        <w:rPr>
          <w:rFonts w:hint="eastAsia" w:ascii="Times New Roman" w:hAnsi="Times New Roman" w:cs="Times New Roman"/>
          <w:color w:val="000000"/>
        </w:rPr>
        <w:t>等电位连接网设计要求施工。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解析：GB50601-2010《建筑物防雷工程施工与质量验收规范》第7.2.3条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主控项目应符合下列规定：1:</w:t>
      </w:r>
      <w:r>
        <w:rPr>
          <w:rFonts w:hint="eastAsia" w:ascii="Times New Roman" w:hAnsi="Times New Roman" w:cs="Times New Roman"/>
          <w:color w:val="000000"/>
          <w:u w:val="single"/>
        </w:rPr>
        <w:t>当工程设计文件要求为了防止雷击电磁脉冲对室内电子设备产生损害或干扰而需采取屏蔽措施时，屏蔽工程施工应符合工程设计文件和现行国家标准《电子信息系统机房施工及验收规范》GB50462的有关规定</w:t>
      </w:r>
      <w:r>
        <w:rPr>
          <w:rFonts w:hint="eastAsia" w:ascii="Times New Roman" w:hAnsi="Times New Roman" w:cs="Times New Roman"/>
          <w:color w:val="000000"/>
        </w:rPr>
        <w:t>。2:当工程设计文件有防雷专用屏蔽室时，屏蔽壳体、屏蔽门、各类滤波器、截止通风导窗、屏蔽玻璃窗、屏蔽暗箱的安装，应符合工程设计文件的要求。屏蔽室的等电位连接应符合GB50601-2010第7.1.2.条第3款的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主控项目应符合下列规定：1:当工程设计文件要求为了防止雷击电磁脉冲对室内电子设备产生损害或干扰而需采取屏蔽措施时，屏蔽工程施工应符合工程设计文件和现行国家标准《电子信息系统机房施工及验收规范》GB50462的有关规定。2:</w:t>
      </w:r>
      <w:r>
        <w:rPr>
          <w:rFonts w:hint="eastAsia" w:ascii="Times New Roman" w:hAnsi="Times New Roman" w:cs="Times New Roman"/>
          <w:color w:val="000000"/>
          <w:u w:val="single"/>
        </w:rPr>
        <w:t>当工程设计文件有防雷专用屏蔽室时，屏蔽壳体、屏蔽门、各类滤波器、截止通风导窗、屏蔽玻璃窗、屏蔽暗箱的安装，应符合工程设计文件的要求。屏蔽室的等电位连接应符合GB50601-2010第7.1.2.条第3款的规定</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一般项目应符合下列规定：1:</w:t>
      </w:r>
      <w:r>
        <w:rPr>
          <w:rFonts w:hint="eastAsia" w:ascii="Times New Roman" w:hAnsi="Times New Roman" w:cs="Times New Roman"/>
          <w:color w:val="000000"/>
          <w:u w:val="single"/>
        </w:rPr>
        <w:t>设有电磁屏蔽室的机房，建筑结构应满足屏蔽结构对荷载的要求</w:t>
      </w:r>
      <w:r>
        <w:rPr>
          <w:rFonts w:hint="eastAsia" w:ascii="Times New Roman" w:hAnsi="Times New Roman" w:cs="Times New Roman"/>
          <w:color w:val="000000"/>
        </w:rPr>
        <w:t>。2:</w:t>
      </w:r>
      <w:r>
        <w:rPr>
          <w:rFonts w:hint="eastAsia" w:ascii="Times New Roman" w:hAnsi="Times New Roman" w:cs="Times New Roman"/>
          <w:color w:val="000000"/>
          <w:u w:val="single"/>
        </w:rPr>
        <w:t>电磁屏蔽室与建筑物内墙之间宜预留维修通道</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建筑物格栅形大空间屏蔽工程安装工序应符合下列规定：1</w:t>
      </w:r>
      <w:r>
        <w:rPr>
          <w:rFonts w:hint="eastAsia" w:ascii="Times New Roman" w:hAnsi="Times New Roman" w:cs="Times New Roman"/>
          <w:color w:val="000000"/>
          <w:u w:val="single"/>
        </w:rPr>
        <w:t>应按工程设计文件要求选用金属导体在建筑物六面体上敷设，对金属导体本身或其与建筑物内的钢筋构成的网格尺寸，应经检查确认后再进行电气连接</w:t>
      </w:r>
      <w:r>
        <w:rPr>
          <w:rFonts w:hint="eastAsia" w:ascii="Times New Roman" w:hAnsi="Times New Roman" w:cs="Times New Roman"/>
          <w:color w:val="000000"/>
        </w:rPr>
        <w:t>。2支模或进行内装修时，应使屏蔽网格埋在混凝土或装修材料之中。</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建筑物格栅形大空间屏蔽工程安装工序应符合下列规定：1应按工程设计文件要求选用金属导体在建筑物六面体上敷设，对金属导体本身或其与建筑物内的钢筋构成的网格尺寸，应经检查确认后再进行电气连接。2</w:t>
      </w:r>
      <w:r>
        <w:rPr>
          <w:rFonts w:hint="eastAsia" w:ascii="Times New Roman" w:hAnsi="Times New Roman" w:cs="Times New Roman"/>
          <w:color w:val="000000"/>
          <w:u w:val="single"/>
        </w:rPr>
        <w:t>支模或进行内装修时，应使屏蔽网格埋在混凝土或装修材料之中</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专用屏蔽室安装工序应符合下列规定：1</w:t>
      </w:r>
      <w:r>
        <w:rPr>
          <w:rFonts w:hint="eastAsia" w:ascii="Times New Roman" w:hAnsi="Times New Roman" w:cs="Times New Roman"/>
          <w:color w:val="000000"/>
          <w:u w:val="single"/>
        </w:rPr>
        <w:t>应将模块式的可拆式屏蔽室在房间内按设计要求安装，并应预留出等电位连接端子</w:t>
      </w:r>
      <w:r>
        <w:rPr>
          <w:rFonts w:hint="eastAsia" w:ascii="Times New Roman" w:hAnsi="Times New Roman" w:cs="Times New Roman"/>
          <w:color w:val="000000"/>
        </w:rPr>
        <w:t>。2应将屏蔽室预留等电位连接端子与建筑物内等电位连接带进行电气连接，并应经检查确认后再进行屏蔽室固定和外部装修。3应安装屏蔽门、屏蔽窗和滤波器，并应检查屏蔽焊缝的严密和牢固。</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专用屏蔽室安装工序应符合下列规定：1应将模块式的可拆式屏蔽室在房间内按设计要求安装，并应预留出等电位连接端子。2</w:t>
      </w:r>
      <w:r>
        <w:rPr>
          <w:rFonts w:hint="eastAsia" w:ascii="Times New Roman" w:hAnsi="Times New Roman" w:cs="Times New Roman"/>
          <w:color w:val="000000"/>
          <w:u w:val="single"/>
        </w:rPr>
        <w:t>应将屏蔽室预留等电位连接端子与建筑物内等电位连接带进行电气连接，并应经检查确认后再进行屏蔽室固定和外部装修</w:t>
      </w:r>
      <w:r>
        <w:rPr>
          <w:rFonts w:hint="eastAsia" w:ascii="Times New Roman" w:hAnsi="Times New Roman" w:cs="Times New Roman"/>
          <w:color w:val="000000"/>
        </w:rPr>
        <w:t>。3应安装屏蔽门、屏蔽窗和滤波器，并应检查屏蔽焊缝的严密和牢固。</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专用屏蔽室安装工序应符合下列规定：1应将模块式的可拆式屏蔽室在房间内按设计要求安装，并应预留出等电位连接端子。2应将屏蔽室预留等电位连接端子与建筑物内等电位连接带进行电气连接，并应经检查确认后再进行屏蔽室固定和外部装修。3</w:t>
      </w:r>
      <w:r>
        <w:rPr>
          <w:rFonts w:hint="eastAsia" w:ascii="Times New Roman" w:hAnsi="Times New Roman" w:cs="Times New Roman"/>
          <w:color w:val="000000"/>
          <w:u w:val="single"/>
        </w:rPr>
        <w:t>应安装屏蔽门、屏蔽窗和滤波器，并应检查屏蔽焊缝的严密和牢固</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解析：GB50601-2010《建筑物防雷工程施工与质量验收规范》第8.2.2条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综合布线安装主控项目应符合下列规定:1</w:t>
      </w:r>
      <w:r>
        <w:rPr>
          <w:rFonts w:hint="eastAsia" w:ascii="Times New Roman" w:hAnsi="Times New Roman" w:cs="Times New Roman"/>
          <w:color w:val="000000"/>
          <w:u w:val="single"/>
        </w:rPr>
        <w:t>低压配电线路（三相或单相）的单芯线缆不应单独穿于金属管内</w:t>
      </w:r>
      <w:r>
        <w:rPr>
          <w:rFonts w:hint="eastAsia" w:ascii="Times New Roman" w:hAnsi="Times New Roman" w:cs="Times New Roman"/>
          <w:color w:val="000000"/>
        </w:rPr>
        <w:t>。2不同回路、不同电压等级的交流和直流电线不应穿于同一金属管中，同一交流回路的电线应穿于同一金属管中，管内电线不得有接头。3爆炸危险场所使用的电线（电缆）的额定耐受电压值不应低于750V，且必须穿在金属管中。</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解析：GB50601-2010《建筑物防雷工程施工与质量验收规范》第9.1.1条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综合布线安装主控项目应符合下列规定:1低压配电线路（三相或单相）的单芯线缆不应单独穿于金属管内。2</w:t>
      </w:r>
      <w:r>
        <w:rPr>
          <w:rFonts w:hint="eastAsia" w:ascii="Times New Roman" w:hAnsi="Times New Roman" w:cs="Times New Roman"/>
          <w:color w:val="000000"/>
          <w:u w:val="single"/>
        </w:rPr>
        <w:t>不同回路、不同电压等级的交流和直流电线不应穿于同一金属管中，同一交流回路的电线应穿于同一金属管中，管内电线不得有接头</w:t>
      </w:r>
      <w:r>
        <w:rPr>
          <w:rFonts w:hint="eastAsia" w:ascii="Times New Roman" w:hAnsi="Times New Roman" w:cs="Times New Roman"/>
          <w:color w:val="000000"/>
        </w:rPr>
        <w:t>。3爆炸危险场所使用的电线（电缆）的额定耐受电压值不应低于750V，且必须穿在金属管中。</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解析：GB50601-2010《建筑物防雷工程施工与质量验收规范》第9.1.1条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综合布线安装主控项目应符合下列规定:1低压配电线路（三相或单相）的单芯线缆不应单独穿于金属管内。2不同回路、不同电压等级的交流和直流电线不应穿于同一金属管中，同一交流回路的电线应穿于同一金属管中，管内电线不得有接头。3</w:t>
      </w:r>
      <w:r>
        <w:rPr>
          <w:rFonts w:hint="eastAsia" w:ascii="Times New Roman" w:hAnsi="Times New Roman" w:cs="Times New Roman"/>
          <w:color w:val="000000"/>
          <w:u w:val="single"/>
        </w:rPr>
        <w:t>爆炸危险场所使用的电线（电缆）的额定耐受电压值不应低于750V，且必须穿在金属管中</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解析：GB50601-2010《建筑物防雷工程施工与质量验收规范》第9.1.1条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敷设各类配线的</w:t>
      </w:r>
      <w:r>
        <w:rPr>
          <w:rFonts w:hint="eastAsia" w:ascii="Times New Roman" w:hAnsi="Times New Roman" w:cs="Times New Roman"/>
          <w:color w:val="000000"/>
          <w:u w:val="single"/>
        </w:rPr>
        <w:t>线槽（盒）、桥架或金属管</w:t>
      </w:r>
      <w:r>
        <w:rPr>
          <w:rFonts w:hint="eastAsia" w:ascii="Times New Roman" w:hAnsi="Times New Roman" w:cs="Times New Roman"/>
          <w:color w:val="000000"/>
        </w:rPr>
        <w:t>应符合设计文件的要求，并应经检查确认后，再按设计文件规定的位置和走向安装固定。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解析：GB50601-2010《建筑物防雷工程施工与质量验收规范》第9.2.3条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已安装固定的线槽（盒）、桥架或金属管应与建筑物内的等电位连接带进行电气连接，连接处的过渡电阻不应大于</w:t>
      </w:r>
      <w:r>
        <w:rPr>
          <w:rFonts w:hint="eastAsia" w:ascii="Times New Roman" w:hAnsi="Times New Roman" w:cs="Times New Roman"/>
          <w:color w:val="000000"/>
          <w:u w:val="single"/>
        </w:rPr>
        <w:t>0.24</w:t>
      </w:r>
      <w:r>
        <w:rPr>
          <w:rFonts w:hint="eastAsia" w:ascii="Times New Roman" w:hAnsi="Times New Roman" w:cs="Times New Roman"/>
          <w:color w:val="000000"/>
        </w:rPr>
        <w:t>Ω。</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解析：GB50601-2010《建筑物防雷工程施工与质量验收规范》第9.2.4条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电子系统信号网络中的SPD的安装布置应符合工程设计文件的要求，并应符合现行国家标准</w:t>
      </w:r>
      <w:r>
        <w:rPr>
          <w:rFonts w:hint="eastAsia" w:ascii="Times New Roman" w:hAnsi="Times New Roman" w:cs="Times New Roman"/>
          <w:color w:val="000000"/>
          <w:u w:val="single"/>
        </w:rPr>
        <w:t>《低压电涌保护器  第22部分：电信和信号网络的电涌保护器（SPD）选择和使用导则》GB/T18802.22</w:t>
      </w:r>
      <w:r>
        <w:rPr>
          <w:rFonts w:hint="eastAsia" w:ascii="Times New Roman" w:hAnsi="Times New Roman" w:cs="Times New Roman"/>
          <w:color w:val="000000"/>
        </w:rPr>
        <w:t>和《建筑物防雷设计规范》GB50057的有关规定。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建筑物上有外部防雷装置，或建筑物上虽未敷设外部防雷装置，但与之邻近的建筑物上有外部防雷装置且两建筑物之间有电气联系时，有外部防雷装置的建筑物和有电气联系的建筑物内总配电柜上安装的SPD应符合下列要求：1）</w:t>
      </w:r>
      <w:r>
        <w:rPr>
          <w:rFonts w:hint="eastAsia" w:ascii="Times New Roman" w:hAnsi="Times New Roman" w:cs="Times New Roman"/>
          <w:color w:val="000000"/>
          <w:u w:val="single"/>
        </w:rPr>
        <w:t>应当使用Ⅰ级分类试验的SPD</w:t>
      </w:r>
      <w:r>
        <w:rPr>
          <w:rFonts w:hint="eastAsia" w:ascii="Times New Roman" w:hAnsi="Times New Roman" w:cs="Times New Roman"/>
          <w:color w:val="000000"/>
        </w:rPr>
        <w:t>。2）低压配电系统的SPD的主要性能参数：冲击电流应不小于12.5kA(10/350μs),电压保护水平不应大于2.5kV,最大持续运行电压应根据低压配电系统的接地型式选取。</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建筑物上有外部防雷装置，或建筑物上虽未敷设外部防雷装置，但与之邻近的建筑物上有外部防雷装置且两建筑物之间有电气联系时，有外部防雷装置的建筑物和有电气联系的建筑物内总配电柜上安装的SPD应符合下列要求：1）应当使用Ⅰ级分类试验的SPD。2）</w:t>
      </w:r>
      <w:r>
        <w:rPr>
          <w:rFonts w:hint="eastAsia" w:ascii="Times New Roman" w:hAnsi="Times New Roman" w:cs="Times New Roman"/>
          <w:color w:val="000000"/>
          <w:u w:val="single"/>
        </w:rPr>
        <w:t>低压配电系统的SPD的主要性能参数：冲击电流应不小于12.5kA(10/350μs),电压保护水平不应大于2.5kV,最大持续运行电压应根据低压配电系统的接地型式选取</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当SPD内部未设计</w:t>
      </w:r>
      <w:r>
        <w:rPr>
          <w:rFonts w:hint="eastAsia" w:ascii="Times New Roman" w:hAnsi="Times New Roman" w:cs="Times New Roman"/>
          <w:color w:val="000000"/>
          <w:u w:val="single"/>
        </w:rPr>
        <w:t>热脱扣</w:t>
      </w:r>
      <w:r>
        <w:rPr>
          <w:rFonts w:hint="eastAsia" w:ascii="Times New Roman" w:hAnsi="Times New Roman" w:cs="Times New Roman"/>
          <w:color w:val="000000"/>
        </w:rPr>
        <w:t>装置时，对失效状态为短路型的SPD，应在其前端安装</w:t>
      </w:r>
      <w:r>
        <w:rPr>
          <w:rFonts w:hint="eastAsia" w:ascii="Times New Roman" w:hAnsi="Times New Roman" w:cs="Times New Roman"/>
          <w:color w:val="000000"/>
          <w:u w:val="single"/>
        </w:rPr>
        <w:t>熔丝、热熔线圈或断路器</w:t>
      </w:r>
      <w:r>
        <w:rPr>
          <w:rFonts w:hint="eastAsia" w:ascii="Times New Roman" w:hAnsi="Times New Roman" w:cs="Times New Roman"/>
          <w:color w:val="000000"/>
        </w:rPr>
        <w:t>进行后备过电流保护。</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无明确的产品安装指南时，开关型SPD与限压型SPD之间的线路长度不宜小于</w:t>
      </w:r>
      <w:r>
        <w:rPr>
          <w:rFonts w:hint="eastAsia" w:ascii="Times New Roman" w:hAnsi="Times New Roman" w:cs="Times New Roman"/>
          <w:color w:val="000000"/>
          <w:u w:val="single"/>
        </w:rPr>
        <w:t>10m</w:t>
      </w:r>
      <w:r>
        <w:rPr>
          <w:rFonts w:hint="eastAsia" w:ascii="Times New Roman" w:hAnsi="Times New Roman" w:cs="Times New Roman"/>
          <w:color w:val="000000"/>
        </w:rPr>
        <w:t>，限压型SPD之间的线路长度不宜小于</w:t>
      </w:r>
      <w:r>
        <w:rPr>
          <w:rFonts w:hint="eastAsia" w:ascii="Times New Roman" w:hAnsi="Times New Roman" w:cs="Times New Roman"/>
          <w:color w:val="000000"/>
          <w:u w:val="single"/>
        </w:rPr>
        <w:t>5m</w:t>
      </w:r>
      <w:r>
        <w:rPr>
          <w:rFonts w:hint="eastAsia" w:ascii="Times New Roman" w:hAnsi="Times New Roman" w:cs="Times New Roman"/>
          <w:color w:val="000000"/>
        </w:rPr>
        <w:t>。当SPD之间的线路长度小于10m或5m时应加装</w:t>
      </w:r>
      <w:r>
        <w:rPr>
          <w:rFonts w:hint="eastAsia" w:ascii="Times New Roman" w:hAnsi="Times New Roman" w:cs="Times New Roman"/>
          <w:color w:val="000000"/>
          <w:u w:val="single"/>
        </w:rPr>
        <w:t>退耦的电感（或电阻）</w:t>
      </w:r>
      <w:r>
        <w:rPr>
          <w:rFonts w:hint="eastAsia" w:ascii="Times New Roman" w:hAnsi="Times New Roman" w:cs="Times New Roman"/>
          <w:color w:val="000000"/>
        </w:rPr>
        <w:t>元件。生产厂明确在其产品中已有</w:t>
      </w:r>
      <w:r>
        <w:rPr>
          <w:rFonts w:hint="eastAsia" w:ascii="Times New Roman" w:hAnsi="Times New Roman" w:cs="Times New Roman"/>
          <w:color w:val="000000"/>
          <w:u w:val="single"/>
        </w:rPr>
        <w:t>能量配合的</w:t>
      </w:r>
      <w:r>
        <w:rPr>
          <w:rFonts w:hint="eastAsia" w:ascii="Times New Roman" w:hAnsi="Times New Roman" w:cs="Times New Roman"/>
          <w:color w:val="000000"/>
        </w:rPr>
        <w:t>措施时，可不再接退耦元件。</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解析：GB50601-2010《建筑物防雷工程施工与质量验收规范》第10.1.2条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在电子信号网络中安装的第一级SPD应安装在建筑物入户处的</w:t>
      </w:r>
      <w:r>
        <w:rPr>
          <w:rFonts w:hint="eastAsia" w:ascii="Times New Roman" w:hAnsi="Times New Roman" w:cs="Times New Roman"/>
          <w:color w:val="000000"/>
          <w:u w:val="single"/>
        </w:rPr>
        <w:t>配线架</w:t>
      </w:r>
      <w:r>
        <w:rPr>
          <w:rFonts w:hint="eastAsia" w:ascii="Times New Roman" w:hAnsi="Times New Roman" w:cs="Times New Roman"/>
          <w:color w:val="000000"/>
        </w:rPr>
        <w:t>上，当传输电缆直接接至被保护设备的接口时，宜安装在</w:t>
      </w:r>
      <w:r>
        <w:rPr>
          <w:rFonts w:hint="eastAsia" w:ascii="Times New Roman" w:hAnsi="Times New Roman" w:cs="Times New Roman"/>
          <w:color w:val="000000"/>
          <w:u w:val="single"/>
        </w:rPr>
        <w:t>设备接口</w:t>
      </w:r>
      <w:r>
        <w:rPr>
          <w:rFonts w:hint="eastAsia" w:ascii="Times New Roman" w:hAnsi="Times New Roman" w:cs="Times New Roman"/>
          <w:color w:val="000000"/>
        </w:rPr>
        <w:t>上。</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解析：GB50601-2010《建筑物防雷工程施工与质量验收规范》第10.1.3条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低压配电系统中的SPD安装，应在对</w:t>
      </w:r>
      <w:r>
        <w:rPr>
          <w:rFonts w:hint="eastAsia" w:ascii="Times New Roman" w:hAnsi="Times New Roman" w:cs="Times New Roman"/>
          <w:color w:val="000000"/>
          <w:u w:val="single"/>
        </w:rPr>
        <w:t>配电系统接地型式</w:t>
      </w:r>
      <w:r>
        <w:rPr>
          <w:rFonts w:hint="eastAsia" w:ascii="Times New Roman" w:hAnsi="Times New Roman" w:cs="Times New Roman"/>
          <w:color w:val="000000"/>
        </w:rPr>
        <w:t>、</w:t>
      </w:r>
      <w:r>
        <w:rPr>
          <w:rFonts w:hint="eastAsia" w:ascii="Times New Roman" w:hAnsi="Times New Roman" w:cs="Times New Roman"/>
          <w:color w:val="000000"/>
          <w:u w:val="single"/>
        </w:rPr>
        <w:t>SPD安装位置</w:t>
      </w:r>
      <w:r>
        <w:rPr>
          <w:rFonts w:hint="eastAsia" w:ascii="Times New Roman" w:hAnsi="Times New Roman" w:cs="Times New Roman"/>
          <w:color w:val="000000"/>
        </w:rPr>
        <w:t>、</w:t>
      </w:r>
      <w:r>
        <w:rPr>
          <w:rFonts w:hint="eastAsia" w:ascii="Times New Roman" w:hAnsi="Times New Roman" w:cs="Times New Roman"/>
          <w:color w:val="000000"/>
          <w:u w:val="single"/>
        </w:rPr>
        <w:t>SPD的后备过电流保护安装位置</w:t>
      </w:r>
      <w:r>
        <w:rPr>
          <w:rFonts w:hint="eastAsia" w:ascii="Times New Roman" w:hAnsi="Times New Roman" w:cs="Times New Roman"/>
          <w:color w:val="000000"/>
        </w:rPr>
        <w:t>及</w:t>
      </w:r>
      <w:r>
        <w:rPr>
          <w:rFonts w:hint="eastAsia" w:ascii="Times New Roman" w:hAnsi="Times New Roman" w:cs="Times New Roman"/>
          <w:color w:val="000000"/>
          <w:u w:val="single"/>
        </w:rPr>
        <w:t>SPD两端连线位置</w:t>
      </w:r>
      <w:r>
        <w:rPr>
          <w:rFonts w:hint="eastAsia" w:ascii="Times New Roman" w:hAnsi="Times New Roman" w:cs="Times New Roman"/>
          <w:color w:val="000000"/>
        </w:rPr>
        <w:t>检查确认后，首先安装SPD，在确认安装牢固后，将SPD的接地线与等电位连接带连接后再与带电导线进行连接。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电信和信号网络中的SPD安装，应在</w:t>
      </w:r>
      <w:r>
        <w:rPr>
          <w:rFonts w:hint="eastAsia" w:ascii="Times New Roman" w:hAnsi="Times New Roman" w:cs="Times New Roman"/>
          <w:color w:val="000000"/>
          <w:u w:val="single"/>
        </w:rPr>
        <w:t>SPD安装位置</w:t>
      </w:r>
      <w:r>
        <w:rPr>
          <w:rFonts w:hint="eastAsia" w:ascii="Times New Roman" w:hAnsi="Times New Roman" w:cs="Times New Roman"/>
          <w:color w:val="000000"/>
        </w:rPr>
        <w:t>和</w:t>
      </w:r>
      <w:r>
        <w:rPr>
          <w:rFonts w:hint="eastAsia" w:ascii="Times New Roman" w:hAnsi="Times New Roman" w:cs="Times New Roman"/>
          <w:color w:val="000000"/>
          <w:u w:val="single"/>
        </w:rPr>
        <w:t>SPD两端连接件及接地线位置</w:t>
      </w:r>
      <w:r>
        <w:rPr>
          <w:rFonts w:hint="eastAsia" w:ascii="Times New Roman" w:hAnsi="Times New Roman" w:cs="Times New Roman"/>
          <w:color w:val="000000"/>
        </w:rPr>
        <w:t>检查确认后，首先安装SPD，在确认安装牢固后，应将SPD的接地线与等电位连接带连接后再接入网络。</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解析：GB50601-2010《建筑物防雷工程施工与质量验收规范》第10.2.2条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检验批及分项工程应由监理工程师或建设单位项目技术负责人组织</w:t>
      </w:r>
      <w:r>
        <w:rPr>
          <w:rFonts w:hint="eastAsia" w:ascii="Times New Roman" w:hAnsi="Times New Roman" w:cs="Times New Roman"/>
          <w:color w:val="000000"/>
          <w:u w:val="single"/>
        </w:rPr>
        <w:t>具备资质的防雷技术服务机构</w:t>
      </w:r>
      <w:r>
        <w:rPr>
          <w:rFonts w:hint="eastAsia" w:ascii="Times New Roman" w:hAnsi="Times New Roman" w:cs="Times New Roman"/>
          <w:color w:val="000000"/>
        </w:rPr>
        <w:t>和</w:t>
      </w:r>
      <w:r>
        <w:rPr>
          <w:rFonts w:hint="eastAsia" w:ascii="Times New Roman" w:hAnsi="Times New Roman" w:cs="Times New Roman"/>
          <w:color w:val="000000"/>
          <w:u w:val="single"/>
        </w:rPr>
        <w:t>施工单位项目专业质量（技术）负责人</w:t>
      </w:r>
      <w:r>
        <w:rPr>
          <w:rFonts w:hint="eastAsia" w:ascii="Times New Roman" w:hAnsi="Times New Roman" w:cs="Times New Roman"/>
          <w:color w:val="000000"/>
        </w:rPr>
        <w:t>进行验收。隐蔽工程在隐蔽前应由施工单位通知监理工程师或建设单位项目技术负责人、防雷技术服务机构项目负责人共同进行验收，并应形成验收文件。检验批及分项工程验收前，施工单位应进行自行检查。</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防雷工程（子分部工程）应由总监理工程师或建设单位项目负责人组织</w:t>
      </w:r>
      <w:r>
        <w:rPr>
          <w:rFonts w:hint="eastAsia" w:ascii="Times New Roman" w:hAnsi="Times New Roman" w:cs="Times New Roman"/>
          <w:color w:val="000000"/>
          <w:u w:val="single"/>
        </w:rPr>
        <w:t>施工单位项目负责人</w:t>
      </w:r>
      <w:r>
        <w:rPr>
          <w:rFonts w:hint="eastAsia" w:ascii="Times New Roman" w:hAnsi="Times New Roman" w:cs="Times New Roman"/>
          <w:color w:val="000000"/>
        </w:rPr>
        <w:t>和</w:t>
      </w:r>
      <w:r>
        <w:rPr>
          <w:rFonts w:hint="eastAsia" w:ascii="Times New Roman" w:hAnsi="Times New Roman" w:cs="Times New Roman"/>
          <w:color w:val="000000"/>
          <w:u w:val="single"/>
        </w:rPr>
        <w:t>技术、质量负责人</w:t>
      </w:r>
      <w:r>
        <w:rPr>
          <w:rFonts w:hint="eastAsia" w:ascii="Times New Roman" w:hAnsi="Times New Roman" w:cs="Times New Roman"/>
          <w:color w:val="000000"/>
        </w:rPr>
        <w:t>，</w:t>
      </w:r>
      <w:r>
        <w:rPr>
          <w:rFonts w:hint="eastAsia" w:ascii="Times New Roman" w:hAnsi="Times New Roman" w:cs="Times New Roman"/>
          <w:color w:val="000000"/>
          <w:u w:val="single"/>
        </w:rPr>
        <w:t>防雷主管单位项目负责人</w:t>
      </w:r>
      <w:r>
        <w:rPr>
          <w:rFonts w:hint="eastAsia" w:ascii="Times New Roman" w:hAnsi="Times New Roman" w:cs="Times New Roman"/>
          <w:color w:val="000000"/>
        </w:rPr>
        <w:t>共同进行工程验收。</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检验批合格质量应符合下列要求：1：</w:t>
      </w:r>
      <w:r>
        <w:rPr>
          <w:rFonts w:hint="eastAsia" w:ascii="Times New Roman" w:hAnsi="Times New Roman" w:cs="Times New Roman"/>
          <w:color w:val="000000"/>
          <w:u w:val="single"/>
        </w:rPr>
        <w:t>主控项目和一般项目的质量应经抽样检验合格</w:t>
      </w:r>
      <w:r>
        <w:rPr>
          <w:rFonts w:hint="eastAsia" w:ascii="Times New Roman" w:hAnsi="Times New Roman" w:cs="Times New Roman"/>
          <w:color w:val="000000"/>
        </w:rPr>
        <w:t>。2应具有完整的施工操作依据、质量检查记录。3检验批的质量检验抽样方案应符合现行国家标准《建筑工程施工质量验收统一标准》GB50300-2001中第3.0.4条的规定。对生产方错判概率，主控项目和一般项目的合格质量水平的错判概率值不宜超过5%；对使用方漏判概率，主控项目的合格质量水平的错判概率值不宜超过5%，一般项目的合格质量水平的漏判概率值不宜超过10%。4检验批的质量验收记录表格样式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检验批合格质量应符合下列要求：1：主控项目和一般项目的质量应经抽样检验合格。2</w:t>
      </w:r>
      <w:r>
        <w:rPr>
          <w:rFonts w:hint="eastAsia" w:ascii="Times New Roman" w:hAnsi="Times New Roman" w:cs="Times New Roman"/>
          <w:color w:val="000000"/>
          <w:u w:val="single"/>
        </w:rPr>
        <w:t>应具有完整的施工操作依据、质量检查记录</w:t>
      </w:r>
      <w:r>
        <w:rPr>
          <w:rFonts w:hint="eastAsia" w:ascii="Times New Roman" w:hAnsi="Times New Roman" w:cs="Times New Roman"/>
          <w:color w:val="000000"/>
        </w:rPr>
        <w:t>。3检验批的质量检验抽样方案应符合现行国家标准《建筑工程施工质量验收统一标准》GB50300-2001中第3.0.4条的规定。对生产方错判概率，主控项目和一般项目的合格质量水平的错判概率值不宜超过5%；对使用方漏判概率，主控项目的合格质量水平的错判概率值不宜超过5%，一般项目的合格质量水平的漏判概率值不宜超过10%。4检验批的质量验收记录表格样式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检验批合格质量应符合下列要求：1：主控项目和一般项目的质量应经抽样检验合格。2应具有完整的施工操作依据、质量检查记录。3</w:t>
      </w:r>
      <w:r>
        <w:rPr>
          <w:rFonts w:hint="eastAsia" w:ascii="Times New Roman" w:hAnsi="Times New Roman" w:cs="Times New Roman"/>
          <w:color w:val="000000"/>
          <w:u w:val="single"/>
        </w:rPr>
        <w:t>检验批的质量检验抽样方案应符合现行国家标准《建筑工程施工质量验收统一标准》GB50300-2001中第3.0.4条的规定。对生产方错判概率，主控项目和一般项目的合格质量水平的错判概率值不宜超过5%；对使用方漏判概率，主控项目的合格质量水平的错判概率值不宜超过5%，一般项目的合格质量水平的漏判概率值不宜超过10%</w:t>
      </w:r>
      <w:r>
        <w:rPr>
          <w:rFonts w:hint="eastAsia" w:ascii="Times New Roman" w:hAnsi="Times New Roman" w:cs="Times New Roman"/>
          <w:color w:val="000000"/>
        </w:rPr>
        <w:t>。4检验批的质量验收记录表格样式可按GB50601-2010附录E执行。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检验批合格质量应符合下列要求：1：主控项目和一般项目的质量应经抽样检验合格。2应具有完整的施工操作依据、质量检查记录。3检验批的质量检验抽样方案应符合现行国家标准《建筑工程施工质量验收统一标准》GB50300-2001中第3.0.4条的规定。对生产方错判概率，主控项目和一般项目的合格质量水平的错判概率值不宜超过5%；对使用方漏判概率，主控项目的合格质量水平的错判概率值不宜超过5%，一般项目的合格质量水平的漏判概率值不宜超过10%。4</w:t>
      </w:r>
      <w:r>
        <w:rPr>
          <w:rFonts w:hint="eastAsia" w:ascii="Times New Roman" w:hAnsi="Times New Roman" w:cs="Times New Roman"/>
          <w:color w:val="000000"/>
          <w:u w:val="single"/>
        </w:rPr>
        <w:t>检验批的质量验收记录表格样式可按GB50601-2010附录E执行</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分项工程质量验收合格应符合下列规定：1</w:t>
      </w:r>
      <w:r>
        <w:rPr>
          <w:rFonts w:hint="eastAsia" w:ascii="Times New Roman" w:hAnsi="Times New Roman" w:cs="Times New Roman"/>
          <w:color w:val="000000"/>
          <w:u w:val="single"/>
        </w:rPr>
        <w:t>分项工程所含的检验批均应符合GB50601-2010第11.1.4条的要求</w:t>
      </w:r>
      <w:r>
        <w:rPr>
          <w:rFonts w:hint="eastAsia" w:ascii="Times New Roman" w:hAnsi="Times New Roman" w:cs="Times New Roman"/>
          <w:color w:val="000000"/>
        </w:rPr>
        <w:t>。2分项工程所含的检验批的质量验收记录应完整。分项工程质量验收表格样式可按GB50601-2010附录E执行。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解析：GB50601-2010《建筑物防雷工程施工与质量验收规范》第11.1.5条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分项工程质量验收合格应符合下列规定：1分项工程所含的检验批均应符合GB50601-2010第11.1.4条的要求。2</w:t>
      </w:r>
      <w:r>
        <w:rPr>
          <w:rFonts w:hint="eastAsia" w:ascii="Times New Roman" w:hAnsi="Times New Roman" w:cs="Times New Roman"/>
          <w:color w:val="000000"/>
          <w:u w:val="single"/>
        </w:rPr>
        <w:t>分项工程所含的检验批的质量验收记录应完整。分项工程质量验收表格样式可按GB50601-2010附录E执行</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解析：GB50601-2010《建筑物防雷工程施工与质量验收规范》第11.1.5条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防雷工程（子分部工程）质量验收合格应符合下列规定：1</w:t>
      </w:r>
      <w:r>
        <w:rPr>
          <w:rFonts w:hint="eastAsia" w:ascii="Times New Roman" w:hAnsi="Times New Roman" w:cs="Times New Roman"/>
          <w:color w:val="000000"/>
          <w:u w:val="single"/>
        </w:rPr>
        <w:t>防雷工程所含的分项工程的质量均应验收合格</w:t>
      </w:r>
      <w:r>
        <w:rPr>
          <w:rFonts w:hint="eastAsia" w:ascii="Times New Roman" w:hAnsi="Times New Roman" w:cs="Times New Roman"/>
          <w:color w:val="000000"/>
        </w:rPr>
        <w:t>。2质量控制资料应符合GB50601-2010第3.2.1和3.2.2条的要求，并应完整齐全。3施工现场质量管理检查记录表的填写应完整。4工程的观感质量验收应经验收人员通过现场检查，并应共同确认。5防雷工程（子分部工程）质量验收记录表格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防雷工程（子分部工程）质量验收合格应符合下列规定：1防雷工程所含的分项工程的质量均应验收合格。2</w:t>
      </w:r>
      <w:r>
        <w:rPr>
          <w:rFonts w:hint="eastAsia" w:ascii="Times New Roman" w:hAnsi="Times New Roman" w:cs="Times New Roman"/>
          <w:color w:val="000000"/>
          <w:u w:val="single"/>
        </w:rPr>
        <w:t>质量控制资料应符合GB50601-2010第3.2.1和3.2.2条的要求，并应完整齐全</w:t>
      </w:r>
      <w:r>
        <w:rPr>
          <w:rFonts w:hint="eastAsia" w:ascii="Times New Roman" w:hAnsi="Times New Roman" w:cs="Times New Roman"/>
          <w:color w:val="000000"/>
        </w:rPr>
        <w:t>。3施工现场质量管理检查记录表的填写应完整。4工程的观感质量验收应经验收人员通过现场检查，并应共同确认。5防雷工程（子分部工程）质量验收记录表格可按GB50601-2010附录E执行。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防雷工程（子分部工程）质量验收合格应符合下列规定：1防雷工程所含的分项工程的质量均应验收合格。2质量控制资料应符合GB50601-2010第3.2.1和3.2.2条的要求，并应完整齐全。3</w:t>
      </w:r>
      <w:r>
        <w:rPr>
          <w:rFonts w:hint="eastAsia" w:ascii="Times New Roman" w:hAnsi="Times New Roman" w:cs="Times New Roman"/>
          <w:color w:val="000000"/>
          <w:u w:val="single"/>
        </w:rPr>
        <w:t>施工现场质量管理检查记录表的填写应完整</w:t>
      </w:r>
      <w:r>
        <w:rPr>
          <w:rFonts w:hint="eastAsia" w:ascii="Times New Roman" w:hAnsi="Times New Roman" w:cs="Times New Roman"/>
          <w:color w:val="000000"/>
        </w:rPr>
        <w:t>。4工程的观感质量验收应经验收人员通过现场检查，并应共同确认。5防雷工程（子分部工程）质量验收记录表格可按GB50601-2010附录E执行。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工程（子分部工程）质量验收合格应符合下列规定：1防雷工程所含的分项工程的质量均应验收合格。2质量控制资料应符合GB50601-2010第3.2.1和3.2.2条的要求，并应完整齐全。3施工现场质量管理检查记录表的填写应完整。4</w:t>
      </w:r>
      <w:r>
        <w:rPr>
          <w:rFonts w:hint="eastAsia" w:ascii="Times New Roman" w:hAnsi="Times New Roman" w:cs="Times New Roman"/>
          <w:color w:val="000000"/>
          <w:u w:val="single"/>
        </w:rPr>
        <w:t>工程的观感质量验收应经验收人员通过现场检查，并应共同确认</w:t>
      </w:r>
      <w:r>
        <w:rPr>
          <w:rFonts w:hint="eastAsia" w:ascii="Times New Roman" w:hAnsi="Times New Roman" w:cs="Times New Roman"/>
          <w:color w:val="000000"/>
        </w:rPr>
        <w:t>。5防雷工程（子分部工程）质量验收记录表格可按GB50601-2010附录E执行。</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工程（子分部工程）质量验收合格应符合下列规定：1防雷工程所含的分项工程的质量均应验收合格。2质量控制资料应符合GB50601-2010第3.2.1和3.2.2条的要求，并应完整齐全。3施工现场质量管理检查记录表的填写应完整。4工程的观感质量验收应经验收人员通过现场检查，并应共同确认。5</w:t>
      </w:r>
      <w:r>
        <w:rPr>
          <w:rFonts w:hint="eastAsia" w:ascii="Times New Roman" w:hAnsi="Times New Roman" w:cs="Times New Roman"/>
          <w:color w:val="000000"/>
          <w:u w:val="single"/>
        </w:rPr>
        <w:t>防雷工程（子分部工程）质量验收记录表格可按GB50601-2010附录E执行</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解析：GB50601-2010《建筑物防雷工程施工与质量验收规范》第11.1.6条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接地装置安装工程的检验批划分和验收应符合下列规定：</w:t>
      </w:r>
      <w:r>
        <w:rPr>
          <w:rFonts w:hint="eastAsia" w:ascii="Times New Roman" w:hAnsi="Times New Roman" w:cs="Times New Roman"/>
          <w:color w:val="000000"/>
          <w:u w:val="single"/>
        </w:rPr>
        <w:t>接地装置安装工程应按人工接地装置和利用建筑物基础钢筋的自然接地体各分为1个检验批，大型接地网可按区域划分为几个检验批进行质量验收和记录</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解析：GB50601-2010《建筑物防雷工程施工与质量验收规范》第11.2.1条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引下线安装工程的检验批划分和验收应符合下列规定：</w:t>
      </w:r>
      <w:r>
        <w:rPr>
          <w:rFonts w:hint="eastAsia" w:ascii="Times New Roman" w:hAnsi="Times New Roman" w:cs="Times New Roman"/>
          <w:color w:val="000000"/>
          <w:u w:val="single"/>
        </w:rPr>
        <w:t>引下线安装工程应按专用引下线、自然引下线和利用建筑物柱内钢筋各分1个检验批进行质量验收和记录</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解析：GB50601-2010《建筑物防雷工程施工与质量验收规范》第11.2.2条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接闪器安装工程的检验批划分和验收应符合下列规定：</w:t>
      </w:r>
      <w:r>
        <w:rPr>
          <w:rFonts w:hint="eastAsia" w:ascii="Times New Roman" w:hAnsi="Times New Roman" w:cs="Times New Roman"/>
          <w:color w:val="000000"/>
          <w:u w:val="single"/>
        </w:rPr>
        <w:t>接闪器安装工程应按专用接闪器和自然接闪器各分为1个检验批，一幢建筑物上在多个高度上分别敷设接闪器时，可按安装高度划分为几个检验批进行质量验收和记录</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解析：GB50601-2010《建筑物防雷工程施工与质量验收规范》第11.2.3条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等电位连接工程的检验批划分和验收应符合下列规定：1</w:t>
      </w:r>
      <w:r>
        <w:rPr>
          <w:rFonts w:hint="eastAsia" w:ascii="Times New Roman" w:hAnsi="Times New Roman" w:cs="Times New Roman"/>
          <w:color w:val="000000"/>
          <w:u w:val="single"/>
        </w:rPr>
        <w:t>等电位连接工程应按建筑物外大尺寸金属物等电位连接、金属管线等电位连接、各防雷区等电位连接和电子系统设备机房各分为1个检验批进行质量验收和记录</w:t>
      </w:r>
      <w:r>
        <w:rPr>
          <w:rFonts w:hint="eastAsia" w:ascii="Times New Roman" w:hAnsi="Times New Roman" w:cs="Times New Roman"/>
          <w:color w:val="000000"/>
        </w:rPr>
        <w:t>。2等电位连接的有效性可通过等电位连接导体之间的电阻值测试来确定，第一类防雷建筑物中长金属物的弯头、阀门、法兰盘等连接处的过渡电阻不应大于0.03Ω；连在额定值为16A的断路器线路中，同时触及的外露可导电部分和装置外可导电部分之间的电阻不应大于0.24Ω；等电位连接带与连接范围内的金属管道等金属体末端之间的直流过渡电阻值不应大于3Ω。</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等电位连接工程的检验批划分和验收应符合下列规定：1等电位连接工程应按建筑物外大尺寸金属物等电位连接、金属管线等电位连接、各防雷区等电位连接和电子系统设备机房各分为1个检验批进行质量验收和记录。2</w:t>
      </w:r>
      <w:r>
        <w:rPr>
          <w:rFonts w:hint="eastAsia" w:ascii="Times New Roman" w:hAnsi="Times New Roman" w:cs="Times New Roman"/>
          <w:color w:val="000000"/>
          <w:u w:val="single"/>
        </w:rPr>
        <w:t>等电位连接的有效性可通过等电位连接导体之间的电阻值测试来确定，第一类防雷建筑物中长金属物的弯头、阀门、法兰盘等连接处的过渡电阻不应大于0.03Ω；连在额定值为16A的断路器线路中，同时触及的外露可导电部分和装置外可导电部分之间的电阻不应大于0.24Ω；等电位连接带与连接范围内的金属管道等金属体末端之间的直流过渡电阻值不应大于3Ω</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解析：GB50601-2010《建筑物防雷工程施工与质量验收规范》第11.2.4条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屏蔽装置工程的检验批划分和验收应符合下列规定：</w:t>
      </w:r>
      <w:r>
        <w:rPr>
          <w:rFonts w:hint="eastAsia" w:ascii="Times New Roman" w:hAnsi="Times New Roman" w:cs="Times New Roman"/>
          <w:color w:val="000000"/>
          <w:u w:val="single"/>
        </w:rPr>
        <w:t>屏蔽装置工程应按建筑物格栅形大空间屏蔽和专用屏蔽室各分为1个检验批进行质量验收和记录</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解析：GB50601-2010《建筑物防雷工程施工与质量验收规范》第11.2.5条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防雷电磁屏蔽室的主控项目和一般项目应进行下列检测：1</w:t>
      </w:r>
      <w:r>
        <w:rPr>
          <w:rFonts w:hint="eastAsia" w:ascii="Times New Roman" w:hAnsi="Times New Roman" w:cs="Times New Roman"/>
          <w:color w:val="000000"/>
          <w:u w:val="single"/>
        </w:rPr>
        <w:t>对壳体的所有接缝、屏蔽门、截止波导通风窗、滤波器等屏蔽接口使用电磁屏蔽检漏仪进行连续检漏</w:t>
      </w:r>
      <w:r>
        <w:rPr>
          <w:rFonts w:hint="eastAsia" w:ascii="Times New Roman" w:hAnsi="Times New Roman" w:cs="Times New Roman"/>
          <w:color w:val="000000"/>
        </w:rPr>
        <w:t>。2检查壳体的等电位连接状况，其间直流过渡电阻值不应大于0.2Ω。3屏蔽效能的测试应符合现行国家标准《电磁屏蔽室屏蔽效能的测量方法》GB/T 12190的有关规定。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解析：GB50601-2010《建筑物防雷工程施工与质量验收规范》第11.2.5条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防雷电磁屏蔽室的主控项目和一般项目应进行下列检测：1对壳体的所有接缝、屏蔽门、截止波导通风窗、滤波器等屏蔽接口使用电磁屏蔽检漏仪进行连续检漏。2</w:t>
      </w:r>
      <w:r>
        <w:rPr>
          <w:rFonts w:hint="eastAsia" w:ascii="Times New Roman" w:hAnsi="Times New Roman" w:cs="Times New Roman"/>
          <w:color w:val="000000"/>
          <w:u w:val="single"/>
        </w:rPr>
        <w:t>检查壳体的等电位连接状况，其间直流过渡电阻值不应大于0.2Ω。3屏蔽效能的测试应符合现行国家标准《电磁屏蔽室屏蔽效能的测量方法》GB/T 12190的有关规定</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解析：GB50601-2010《建筑物防雷工程施工与质量验收规范》第11.2.5条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综合布线工程的检验批划分和验收应符合下列规定：1</w:t>
      </w:r>
      <w:r>
        <w:rPr>
          <w:rFonts w:hint="eastAsia" w:ascii="Times New Roman" w:hAnsi="Times New Roman" w:cs="Times New Roman"/>
          <w:color w:val="000000"/>
          <w:u w:val="single"/>
        </w:rPr>
        <w:t>综合布线工程应为1个检验批，当建筑工程有若干独立的建筑时，可按建筑物的数量分为几个检验批进行质量验收和记录</w:t>
      </w:r>
      <w:r>
        <w:rPr>
          <w:rFonts w:hint="eastAsia" w:ascii="Times New Roman" w:hAnsi="Times New Roman" w:cs="Times New Roman"/>
          <w:color w:val="000000"/>
        </w:rPr>
        <w:t>。2对工程主控项目和一般项目应逐项进行检查和测量。3综合布线工程电气测试应符合现行国家标准《综合布线系统工程验收规范》GB50312的规定。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综合布线工程的检验批划分和验收应符合下列规定：1综合布线工程应为1个检验批，当建筑工程有若干独立的建筑时，可按建筑物的数量分为几个检验批进行质量验收和记录。2</w:t>
      </w:r>
      <w:r>
        <w:rPr>
          <w:rFonts w:hint="eastAsia" w:ascii="Times New Roman" w:hAnsi="Times New Roman" w:cs="Times New Roman"/>
          <w:color w:val="000000"/>
          <w:u w:val="single"/>
        </w:rPr>
        <w:t>对工程主控项目和一般项目应逐项进行检查和测量</w:t>
      </w:r>
      <w:r>
        <w:rPr>
          <w:rFonts w:hint="eastAsia" w:ascii="Times New Roman" w:hAnsi="Times New Roman" w:cs="Times New Roman"/>
          <w:color w:val="000000"/>
        </w:rPr>
        <w:t>。3综合布线工程电气测试应符合现行国家标准《综合布线系统工程验收规范》GB50312的规定。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综合布线工程的检验批划分和验收应符合下列规定：1综合布线工程应为1个检验批，当建筑工程有若干独立的建筑时，可按建筑物的数量分为几个检验批进行质量验收和记录。2对工程主控项目和一般项目应逐项进行检查和测量。3</w:t>
      </w:r>
      <w:r>
        <w:rPr>
          <w:rFonts w:hint="eastAsia" w:ascii="Times New Roman" w:hAnsi="Times New Roman" w:cs="Times New Roman"/>
          <w:color w:val="000000"/>
          <w:u w:val="single"/>
        </w:rPr>
        <w:t>综合布线工程电气测试应符合现行国家标准《综合布线系统工程验收规范》GB50312的规定</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解析：GB50601-2010《建筑物防雷工程施工与质量验收规范》第11.2.6条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 xml:space="preserve">SPD安装工程的检验批划分和验收应符合下列规定：1 </w:t>
      </w:r>
      <w:r>
        <w:rPr>
          <w:rFonts w:hint="eastAsia" w:ascii="Times New Roman" w:hAnsi="Times New Roman" w:cs="Times New Roman"/>
          <w:color w:val="000000"/>
          <w:u w:val="single"/>
        </w:rPr>
        <w:t>SPD安装工程可做为1个检验批，也可按低压配电系统和电子系统中的安装分为2个检验批进行质量验收和记录</w:t>
      </w:r>
      <w:r>
        <w:rPr>
          <w:rFonts w:hint="eastAsia" w:ascii="Times New Roman" w:hAnsi="Times New Roman" w:cs="Times New Roman"/>
          <w:color w:val="000000"/>
        </w:rPr>
        <w:t>。2对主控项目和一般项目应逐项进行检查。3 SPD的主要性能参数测试应符合现行国家标准《建筑物防雷装置检测技术规范》GB/T21431-2008第5.8.2和第5.8.3条的规定。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解析：GB50601-2010《建筑物防雷工程施工与质量验收规范》第11.2.7条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SPD安装工程的检验批划分和验收应符合下列规定：1 SPD安装工程可做为1个检验批，也可按低压配电系统和电子系统中的安装分为2个检验批进行质量验收和记录。2</w:t>
      </w:r>
      <w:r>
        <w:rPr>
          <w:rFonts w:hint="eastAsia" w:ascii="Times New Roman" w:hAnsi="Times New Roman" w:cs="Times New Roman"/>
          <w:color w:val="000000"/>
          <w:u w:val="single"/>
        </w:rPr>
        <w:t>对主控项目和一般项目应逐项进行检查</w:t>
      </w:r>
      <w:r>
        <w:rPr>
          <w:rFonts w:hint="eastAsia" w:ascii="Times New Roman" w:hAnsi="Times New Roman" w:cs="Times New Roman"/>
          <w:color w:val="000000"/>
        </w:rPr>
        <w:t>。3 SPD的主要性能参数测试应符合现行国家标准《建筑物防雷装置检测技术规范》GB/T21431-2008第5.8.2和第5.8.3条的规定。</w:t>
      </w:r>
    </w:p>
    <w:p>
      <w:pPr>
        <w:pStyle w:val="2"/>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解析：GB50601-2010《建筑物防雷工程施工与质量验收规范》第11.2.7条</w:t>
      </w:r>
    </w:p>
    <w:p>
      <w:pPr>
        <w:pStyle w:val="2"/>
        <w:numPr>
          <w:ilvl w:val="0"/>
          <w:numId w:val="1"/>
        </w:numPr>
        <w:spacing w:before="0" w:beforeAutospacing="0" w:after="0" w:afterAutospacing="0" w:line="400" w:lineRule="exact"/>
        <w:ind w:firstLine="420"/>
        <w:rPr>
          <w:rFonts w:ascii="Times New Roman" w:hAnsi="Times New Roman" w:cs="Times New Roman"/>
          <w:color w:val="000000"/>
        </w:rPr>
      </w:pPr>
      <w:r>
        <w:rPr>
          <w:rFonts w:hint="eastAsia" w:ascii="Times New Roman" w:hAnsi="Times New Roman" w:cs="Times New Roman"/>
          <w:color w:val="000000"/>
        </w:rPr>
        <w:t>SPD安装工程的检验批划分和验收应符合下列规定：1 SPD安装工程可做为1个检验批，也可按低压配电系统和电子系统中的安装分为2个检验批进行质量验收和记录。2对主控项目和一般项目应逐项进行检查。3</w:t>
      </w:r>
      <w:r>
        <w:rPr>
          <w:rFonts w:hint="eastAsia" w:ascii="Times New Roman" w:hAnsi="Times New Roman" w:cs="Times New Roman"/>
          <w:color w:val="000000"/>
          <w:u w:val="single"/>
        </w:rPr>
        <w:t xml:space="preserve"> SPD的主要性能参数测试应符合现行国家标准《建筑物防雷装置检测技术规范》GB/T21431-2008第5.8.2和第5.8.3条的规定</w:t>
      </w:r>
      <w:r>
        <w:rPr>
          <w:rFonts w:hint="eastAsia" w:ascii="Times New Roman" w:hAnsi="Times New Roman" w:cs="Times New Roman"/>
          <w:color w:val="000000"/>
        </w:rPr>
        <w:t>。</w:t>
      </w:r>
    </w:p>
    <w:p>
      <w:pPr>
        <w:pStyle w:val="2"/>
        <w:spacing w:before="0" w:beforeAutospacing="0" w:after="0" w:afterAutospacing="0" w:line="400" w:lineRule="exact"/>
        <w:ind w:firstLine="420"/>
        <w:rPr>
          <w:rFonts w:hint="eastAsia" w:ascii="Times New Roman" w:hAnsi="Times New Roman" w:cs="Times New Roman"/>
          <w:color w:val="000000"/>
        </w:rPr>
      </w:pPr>
      <w:r>
        <w:rPr>
          <w:rFonts w:hint="eastAsia" w:ascii="Times New Roman" w:hAnsi="Times New Roman" w:cs="Times New Roman"/>
          <w:color w:val="000000"/>
        </w:rPr>
        <w:t>解析：GB50601-2010《建筑物防雷工程施工与质量验收规范》第11.2.7条</w:t>
      </w:r>
    </w:p>
    <w:p>
      <w:pPr>
        <w:pStyle w:val="2"/>
        <w:spacing w:before="0" w:beforeAutospacing="0" w:after="0" w:afterAutospacing="0" w:line="400" w:lineRule="exact"/>
        <w:ind w:firstLine="420"/>
        <w:rPr>
          <w:rFonts w:hint="eastAsia" w:ascii="Times New Roman" w:hAnsi="Times New Roman" w:cs="Times New Roman"/>
          <w:color w:val="000000"/>
        </w:rPr>
      </w:pPr>
    </w:p>
    <w:p>
      <w:pPr>
        <w:pStyle w:val="2"/>
        <w:spacing w:before="0" w:beforeAutospacing="0" w:after="0" w:afterAutospacing="0" w:line="400" w:lineRule="exact"/>
        <w:ind w:firstLine="420"/>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三、单项选择</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hint="eastAsia" w:ascii="黑体" w:hAnsi="黑体" w:eastAsia="黑体" w:cs="黑体"/>
          <w:color w:val="000000"/>
          <w:sz w:val="28"/>
          <w:szCs w:val="36"/>
          <w:lang w:val="en-US" w:eastAsia="zh-CN"/>
        </w:rPr>
        <w:t xml:space="preserve">   </w:t>
      </w:r>
      <w:r>
        <w:rPr>
          <w:rFonts w:ascii="Times New Roman" w:hAnsi="Times New Roman" w:cs="Times New Roman"/>
          <w:color w:val="000000"/>
        </w:rPr>
        <w:t>（    ）</w:t>
      </w:r>
      <w:r>
        <w:rPr>
          <w:rFonts w:hint="eastAsia" w:ascii="Times New Roman" w:hAnsi="Times New Roman" w:cs="Times New Roman"/>
          <w:color w:val="000000"/>
        </w:rPr>
        <w:t>是用于对建筑物进行雷电防护的整套装置，由外部防雷装置和内部防雷装置组成。</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防雷接地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防雷装置</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接闪器</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浪涌保护器</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是用于</w:t>
      </w:r>
      <w:r>
        <w:rPr>
          <w:rFonts w:ascii="Times New Roman" w:hAnsi="Times New Roman" w:cs="Times New Roman"/>
          <w:color w:val="000000"/>
        </w:rPr>
        <w:t>防护直击雷的防雷装置</w:t>
      </w:r>
      <w:r>
        <w:rPr>
          <w:rFonts w:hint="eastAsia" w:ascii="Times New Roman" w:hAnsi="Times New Roman" w:cs="Times New Roman"/>
          <w:color w:val="000000"/>
        </w:rPr>
        <w:t>，</w:t>
      </w:r>
      <w:r>
        <w:rPr>
          <w:rFonts w:ascii="Times New Roman" w:hAnsi="Times New Roman" w:cs="Times New Roman"/>
          <w:color w:val="000000"/>
        </w:rPr>
        <w:t>由接闪器、引下线和接地装置组成。</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接闪器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防雷接地</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 内部防雷装置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外部防雷装置</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D</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2</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用</w:t>
      </w:r>
      <w:r>
        <w:rPr>
          <w:rFonts w:hint="eastAsia" w:ascii="Times New Roman" w:hAnsi="Times New Roman" w:cs="Times New Roman"/>
          <w:color w:val="000000"/>
        </w:rPr>
        <w:t>于</w:t>
      </w:r>
      <w:r>
        <w:rPr>
          <w:rFonts w:ascii="Times New Roman" w:hAnsi="Times New Roman" w:cs="Times New Roman"/>
          <w:color w:val="000000"/>
        </w:rPr>
        <w:t>减小雷电流在</w:t>
      </w:r>
      <w:r>
        <w:rPr>
          <w:rFonts w:hint="eastAsia" w:ascii="Times New Roman" w:hAnsi="Times New Roman" w:cs="Times New Roman"/>
          <w:color w:val="000000"/>
        </w:rPr>
        <w:t>所</w:t>
      </w:r>
      <w:r>
        <w:rPr>
          <w:rFonts w:ascii="Times New Roman" w:hAnsi="Times New Roman" w:cs="Times New Roman"/>
          <w:color w:val="000000"/>
        </w:rPr>
        <w:t>需防护空间内产生的电磁</w:t>
      </w:r>
      <w:r>
        <w:rPr>
          <w:rFonts w:hint="eastAsia" w:ascii="Times New Roman" w:hAnsi="Times New Roman" w:cs="Times New Roman"/>
          <w:color w:val="000000"/>
        </w:rPr>
        <w:t>效应的防雷装置，由屏蔽导体、等电位连接件和电涌保护器等组成。</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SPD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防雷接地</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 内部防雷装置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外部防雷装置</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3</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埋入土壤或混凝土基础中作</w:t>
      </w:r>
      <w:r>
        <w:rPr>
          <w:rFonts w:hint="eastAsia" w:ascii="Times New Roman" w:hAnsi="Times New Roman" w:cs="Times New Roman"/>
          <w:color w:val="000000"/>
        </w:rPr>
        <w:t>散流</w:t>
      </w:r>
      <w:r>
        <w:rPr>
          <w:rFonts w:ascii="Times New Roman" w:hAnsi="Times New Roman" w:cs="Times New Roman"/>
          <w:color w:val="000000"/>
        </w:rPr>
        <w:t>用的导体</w:t>
      </w:r>
      <w:r>
        <w:rPr>
          <w:rFonts w:hint="eastAsia" w:ascii="Times New Roman" w:hAnsi="Times New Roman" w:cs="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接地体</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接地线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 </w:t>
      </w:r>
      <w:r>
        <w:rPr>
          <w:rFonts w:hint="eastAsia" w:ascii="Times New Roman" w:hAnsi="Times New Roman" w:cs="Times New Roman"/>
          <w:color w:val="000000"/>
        </w:rPr>
        <w:t>等电位连接带</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外部防雷装置</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4</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从引下线断接卡或</w:t>
      </w:r>
      <w:r>
        <w:rPr>
          <w:rFonts w:hint="eastAsia" w:ascii="Times New Roman" w:hAnsi="Times New Roman" w:cs="Times New Roman"/>
          <w:color w:val="000000"/>
        </w:rPr>
        <w:t>测试点</w:t>
      </w:r>
      <w:r>
        <w:rPr>
          <w:rFonts w:ascii="Times New Roman" w:hAnsi="Times New Roman" w:cs="Times New Roman"/>
          <w:color w:val="000000"/>
        </w:rPr>
        <w:t>至接地体的连接导体</w:t>
      </w:r>
      <w:r>
        <w:rPr>
          <w:rFonts w:hint="eastAsia" w:ascii="Times New Roman" w:hAnsi="Times New Roman" w:cs="Times New Roman"/>
          <w:color w:val="000000"/>
        </w:rPr>
        <w:t>，</w:t>
      </w:r>
      <w:r>
        <w:rPr>
          <w:rFonts w:ascii="Times New Roman" w:hAnsi="Times New Roman" w:cs="Times New Roman"/>
          <w:color w:val="000000"/>
        </w:rPr>
        <w:t>或从接地端子、等电位连接带至接地体的连接导体。</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接地体</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接地线</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 xml:space="preserve">. </w:t>
      </w:r>
      <w:r>
        <w:rPr>
          <w:rFonts w:hint="eastAsia" w:ascii="Times New Roman" w:hAnsi="Times New Roman" w:cs="Times New Roman"/>
          <w:color w:val="000000"/>
        </w:rPr>
        <w:t>等电位连接带</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外部防雷装置</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5</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将防雷装置、建筑物</w:t>
      </w:r>
      <w:r>
        <w:rPr>
          <w:rFonts w:hint="eastAsia" w:ascii="Times New Roman" w:hAnsi="Times New Roman" w:cs="Times New Roman"/>
          <w:color w:val="000000"/>
        </w:rPr>
        <w:t>基础</w:t>
      </w:r>
      <w:r>
        <w:rPr>
          <w:rFonts w:ascii="Times New Roman" w:hAnsi="Times New Roman" w:cs="Times New Roman"/>
          <w:color w:val="000000"/>
        </w:rPr>
        <w:t>金属构件、低压配电保护线、设备保护</w:t>
      </w:r>
      <w:r>
        <w:rPr>
          <w:rFonts w:hint="eastAsia" w:ascii="Times New Roman" w:hAnsi="Times New Roman" w:cs="Times New Roman"/>
          <w:color w:val="000000"/>
        </w:rPr>
        <w:t>接</w:t>
      </w:r>
      <w:r>
        <w:rPr>
          <w:rFonts w:ascii="Times New Roman" w:hAnsi="Times New Roman" w:cs="Times New Roman"/>
          <w:color w:val="000000"/>
        </w:rPr>
        <w:t>地，屏蔽体接地、防静电接地和信息技术设备逻辑地等</w:t>
      </w:r>
      <w:r>
        <w:rPr>
          <w:rFonts w:hint="eastAsia" w:ascii="Times New Roman" w:hAnsi="Times New Roman" w:cs="Times New Roman"/>
          <w:color w:val="000000"/>
        </w:rPr>
        <w:t>相互</w:t>
      </w:r>
      <w:r>
        <w:rPr>
          <w:rFonts w:ascii="Times New Roman" w:hAnsi="Times New Roman" w:cs="Times New Roman"/>
          <w:color w:val="000000"/>
        </w:rPr>
        <w:t>连接在一起的接地</w:t>
      </w:r>
      <w:r>
        <w:rPr>
          <w:rFonts w:hint="eastAsia" w:ascii="Times New Roman" w:hAnsi="Times New Roman" w:cs="Times New Roman"/>
          <w:color w:val="000000"/>
        </w:rPr>
        <w:t>系统</w:t>
      </w:r>
      <w:r>
        <w:rPr>
          <w:rFonts w:ascii="Times New Roman" w:hAnsi="Times New Roman" w:cs="Times New Roman"/>
          <w:color w:val="000000"/>
        </w:rPr>
        <w:t>。</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 共用接地系统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自然接地系统</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总等电位接地系统</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综合防雷接地系统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6</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电涌保护器</w:t>
      </w:r>
      <w:r>
        <w:rPr>
          <w:rFonts w:hint="eastAsia" w:ascii="Times New Roman" w:hAnsi="Times New Roman" w:cs="Times New Roman"/>
          <w:color w:val="000000"/>
        </w:rPr>
        <w:t>：用于</w:t>
      </w:r>
      <w:r>
        <w:rPr>
          <w:rFonts w:ascii="Times New Roman" w:hAnsi="Times New Roman" w:cs="Times New Roman"/>
          <w:color w:val="000000"/>
        </w:rPr>
        <w:t>限制瞬态过电压和分</w:t>
      </w:r>
      <w:r>
        <w:rPr>
          <w:rFonts w:hint="eastAsia" w:ascii="Times New Roman" w:hAnsi="Times New Roman" w:cs="Times New Roman"/>
          <w:color w:val="000000"/>
        </w:rPr>
        <w:t>泄</w:t>
      </w:r>
      <w:r>
        <w:rPr>
          <w:rFonts w:ascii="Times New Roman" w:hAnsi="Times New Roman" w:cs="Times New Roman"/>
          <w:color w:val="000000"/>
        </w:rPr>
        <w:t>电涌电流的器件。至少含有（    ）非线性元件。</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一个</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二个</w:t>
      </w:r>
      <w:r>
        <w:rPr>
          <w:rFonts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三个</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四个</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7</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位于</w:t>
      </w:r>
      <w:r>
        <w:rPr>
          <w:rFonts w:hint="eastAsia" w:ascii="Times New Roman" w:hAnsi="Times New Roman" w:cs="Times New Roman"/>
          <w:color w:val="000000"/>
        </w:rPr>
        <w:t>电涌保护器</w:t>
      </w:r>
      <w:r>
        <w:rPr>
          <w:rFonts w:ascii="Times New Roman" w:hAnsi="Times New Roman" w:cs="Times New Roman"/>
          <w:color w:val="000000"/>
        </w:rPr>
        <w:t>外部的前端，作为电气装置的一部分的过电流</w:t>
      </w:r>
      <w:r>
        <w:rPr>
          <w:rFonts w:hint="eastAsia" w:ascii="Times New Roman" w:hAnsi="Times New Roman" w:cs="Times New Roman"/>
          <w:color w:val="000000"/>
        </w:rPr>
        <w:t>保护</w:t>
      </w:r>
      <w:r>
        <w:rPr>
          <w:rFonts w:ascii="Times New Roman" w:hAnsi="Times New Roman" w:cs="Times New Roman"/>
          <w:color w:val="000000"/>
        </w:rPr>
        <w:t>装置</w:t>
      </w:r>
      <w:r>
        <w:rPr>
          <w:rFonts w:hint="eastAsia" w:ascii="Times New Roman" w:hAnsi="Times New Roman" w:cs="Times New Roman"/>
          <w:color w:val="000000"/>
        </w:rPr>
        <w:t>。</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 </w:t>
      </w:r>
      <w:r>
        <w:rPr>
          <w:rFonts w:hint="eastAsia" w:ascii="Times New Roman" w:hAnsi="Times New Roman" w:cs="Times New Roman"/>
          <w:color w:val="000000"/>
        </w:rPr>
        <w:t>后备</w:t>
      </w:r>
      <w:r>
        <w:rPr>
          <w:rFonts w:ascii="Times New Roman" w:hAnsi="Times New Roman" w:cs="Times New Roman"/>
          <w:color w:val="000000"/>
        </w:rPr>
        <w:t>过电流保护</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后备</w:t>
      </w:r>
      <w:r>
        <w:rPr>
          <w:rFonts w:ascii="Times New Roman" w:hAnsi="Times New Roman" w:cs="Times New Roman"/>
          <w:color w:val="000000"/>
        </w:rPr>
        <w:t xml:space="preserve">过电压保护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前置</w:t>
      </w:r>
      <w:r>
        <w:rPr>
          <w:rFonts w:ascii="Times New Roman" w:hAnsi="Times New Roman" w:cs="Times New Roman"/>
          <w:color w:val="000000"/>
        </w:rPr>
        <w:t xml:space="preserve">过电流保护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前置</w:t>
      </w:r>
      <w:r>
        <w:rPr>
          <w:rFonts w:ascii="Times New Roman" w:hAnsi="Times New Roman" w:cs="Times New Roman"/>
          <w:color w:val="000000"/>
        </w:rPr>
        <w:t>过电压保护</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8</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w:t>
      </w:r>
      <w:r>
        <w:rPr>
          <w:rFonts w:ascii="Times New Roman" w:hAnsi="Times New Roman" w:cs="Times New Roman"/>
          <w:color w:val="000000"/>
        </w:rPr>
        <w:t>建筑物内的电气和电子系统</w:t>
      </w:r>
      <w:r>
        <w:rPr>
          <w:rFonts w:hint="eastAsia" w:ascii="Times New Roman" w:hAnsi="Times New Roman" w:cs="Times New Roman"/>
          <w:color w:val="000000"/>
        </w:rPr>
        <w:t>。</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w:t>
      </w:r>
      <w:r>
        <w:rPr>
          <w:rFonts w:hint="eastAsia" w:ascii="Times New Roman" w:hAnsi="Times New Roman" w:cs="Times New Roman"/>
          <w:color w:val="000000"/>
        </w:rPr>
        <w:t xml:space="preserve">保护对象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w:t>
      </w:r>
      <w:r>
        <w:rPr>
          <w:rFonts w:ascii="Times New Roman" w:hAnsi="Times New Roman" w:cs="Times New Roman"/>
          <w:color w:val="000000"/>
        </w:rPr>
        <w:t xml:space="preserve">内部系统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系统</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外部系统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9</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是由低压供电组合部件构成的系统。</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内部系统</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电气系统</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电子系统</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外部系统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10</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是由通信设备、计算机、控制和仪表系统、无线电系统和电力电子装置构成的系统。</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内部系统</w:t>
      </w:r>
      <w:r>
        <w:rPr>
          <w:rFonts w:hint="eastAsia" w:ascii="Times New Roman" w:hAnsi="Times New Roman" w:cs="Times New Roman"/>
          <w:color w:val="000000"/>
        </w:rPr>
        <w:t xml:space="preserve">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电气系统</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电子系统</w:t>
      </w:r>
      <w:r>
        <w:rPr>
          <w:rFonts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信息系统</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C</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11</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是按同一的生产条件或规定的方式汇总起来供检验用的，由一定的数量样本组成的检验体。</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 </w:t>
      </w:r>
      <w:r>
        <w:rPr>
          <w:rFonts w:hint="eastAsia" w:ascii="Times New Roman" w:hAnsi="Times New Roman" w:cs="Times New Roman"/>
          <w:color w:val="000000"/>
        </w:rPr>
        <w:t xml:space="preserve">检验批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检验码</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检查批</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质检体</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12</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是建筑工程中对安全、卫生、环境保护和公众利益起决定性作用的检验项目。</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 </w:t>
      </w:r>
      <w:r>
        <w:rPr>
          <w:rFonts w:hint="eastAsia" w:ascii="Times New Roman" w:hAnsi="Times New Roman" w:cs="Times New Roman"/>
          <w:color w:val="000000"/>
        </w:rPr>
        <w:t xml:space="preserve">主控项目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一般项目</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重点项目</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主要项目</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A</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13</w:t>
      </w:r>
      <w:r>
        <w:rPr>
          <w:rFonts w:hint="eastAsia" w:ascii="Times New Roman" w:hAnsi="Times New Roman" w:cs="Times New Roman"/>
          <w:color w:val="000000"/>
        </w:rPr>
        <w:t>条</w:t>
      </w:r>
    </w:p>
    <w:p>
      <w:pPr>
        <w:pStyle w:val="2"/>
        <w:numPr>
          <w:ilvl w:val="0"/>
          <w:numId w:val="2"/>
        </w:numPr>
        <w:spacing w:before="0" w:beforeAutospacing="0" w:after="0" w:afterAutospacing="0" w:line="400" w:lineRule="exact"/>
        <w:jc w:val="both"/>
        <w:rPr>
          <w:rFonts w:ascii="Times New Roman" w:hAnsi="Times New Roman" w:cs="Times New Roman"/>
          <w:color w:val="000000"/>
        </w:rPr>
      </w:pPr>
      <w:r>
        <w:rPr>
          <w:rFonts w:ascii="Times New Roman" w:hAnsi="Times New Roman" w:cs="Times New Roman"/>
          <w:color w:val="000000"/>
        </w:rPr>
        <w:t>（    ）</w:t>
      </w:r>
      <w:r>
        <w:rPr>
          <w:rFonts w:hint="eastAsia" w:ascii="Times New Roman" w:hAnsi="Times New Roman" w:cs="Times New Roman"/>
          <w:color w:val="000000"/>
        </w:rPr>
        <w:t>是除主控项目以外的检验项目。</w:t>
      </w:r>
    </w:p>
    <w:p>
      <w:pPr>
        <w:pStyle w:val="2"/>
        <w:spacing w:before="0" w:beforeAutospacing="0" w:after="0" w:afterAutospacing="0" w:line="400" w:lineRule="exact"/>
        <w:ind w:firstLine="480" w:firstLineChars="200"/>
        <w:rPr>
          <w:rFonts w:ascii="Times New Roman" w:hAnsi="Times New Roman" w:cs="Times New Roman"/>
          <w:color w:val="000000"/>
        </w:rPr>
      </w:pPr>
      <w:r>
        <w:rPr>
          <w:rFonts w:ascii="Times New Roman" w:hAnsi="Times New Roman" w:eastAsia="方正楷体_GBK" w:cs="Times New Roman"/>
          <w:color w:val="000000"/>
        </w:rPr>
        <w:t>A</w:t>
      </w:r>
      <w:r>
        <w:rPr>
          <w:rFonts w:ascii="Times New Roman" w:hAnsi="Times New Roman" w:cs="Times New Roman"/>
          <w:color w:val="000000"/>
        </w:rPr>
        <w:t xml:space="preserve">. </w:t>
      </w:r>
      <w:r>
        <w:rPr>
          <w:rFonts w:hint="eastAsia" w:ascii="Times New Roman" w:hAnsi="Times New Roman" w:cs="Times New Roman"/>
          <w:color w:val="000000"/>
        </w:rPr>
        <w:t xml:space="preserve">主控项目     </w:t>
      </w:r>
      <w:r>
        <w:rPr>
          <w:rFonts w:ascii="Times New Roman" w:hAnsi="Times New Roman" w:eastAsia="方正楷体_GBK" w:cs="Times New Roman"/>
          <w:color w:val="000000"/>
        </w:rPr>
        <w:t>B</w:t>
      </w:r>
      <w:r>
        <w:rPr>
          <w:rFonts w:ascii="Times New Roman" w:hAnsi="Times New Roman" w:cs="Times New Roman"/>
          <w:color w:val="000000"/>
        </w:rPr>
        <w:t>.</w:t>
      </w:r>
      <w:r>
        <w:rPr>
          <w:rFonts w:hint="eastAsia" w:ascii="Times New Roman" w:hAnsi="Times New Roman" w:cs="Times New Roman"/>
          <w:color w:val="000000"/>
        </w:rPr>
        <w:t xml:space="preserve"> 一般项目</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C</w:t>
      </w:r>
      <w:r>
        <w:rPr>
          <w:rFonts w:ascii="Times New Roman" w:hAnsi="Times New Roman" w:cs="Times New Roman"/>
          <w:color w:val="000000"/>
        </w:rPr>
        <w:t>.</w:t>
      </w:r>
      <w:r>
        <w:rPr>
          <w:rFonts w:hint="eastAsia" w:ascii="Times New Roman" w:hAnsi="Times New Roman" w:cs="Times New Roman"/>
          <w:color w:val="000000"/>
        </w:rPr>
        <w:t xml:space="preserve"> 重点项目</w:t>
      </w:r>
      <w:r>
        <w:rPr>
          <w:rFonts w:ascii="Times New Roman" w:hAnsi="Times New Roman" w:cs="Times New Roman"/>
          <w:color w:val="000000"/>
        </w:rPr>
        <w:t xml:space="preserve">   </w:t>
      </w:r>
      <w:r>
        <w:rPr>
          <w:rFonts w:hint="eastAsia" w:ascii="Times New Roman" w:hAnsi="Times New Roman" w:cs="Times New Roman"/>
          <w:color w:val="000000"/>
        </w:rPr>
        <w:t xml:space="preserve">  </w:t>
      </w:r>
      <w:r>
        <w:rPr>
          <w:rFonts w:ascii="Times New Roman" w:hAnsi="Times New Roman" w:eastAsia="方正楷体_GBK" w:cs="Times New Roman"/>
          <w:color w:val="000000"/>
        </w:rPr>
        <w:t>D</w:t>
      </w:r>
      <w:r>
        <w:rPr>
          <w:rFonts w:ascii="Times New Roman" w:hAnsi="Times New Roman" w:cs="Times New Roman"/>
          <w:color w:val="000000"/>
        </w:rPr>
        <w:t xml:space="preserve">. </w:t>
      </w:r>
      <w:r>
        <w:rPr>
          <w:rFonts w:hint="eastAsia" w:ascii="Times New Roman" w:hAnsi="Times New Roman" w:cs="Times New Roman"/>
          <w:color w:val="000000"/>
        </w:rPr>
        <w:t>主要项目</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eastAsia="黑体" w:cs="Times New Roman"/>
          <w:color w:val="000000"/>
        </w:rPr>
        <w:t>答案</w:t>
      </w:r>
      <w:r>
        <w:rPr>
          <w:rFonts w:ascii="Times New Roman" w:hAnsi="Times New Roman" w:cs="Times New Roman"/>
          <w:color w:val="000000"/>
        </w:rPr>
        <w:t>：</w:t>
      </w:r>
      <w:r>
        <w:rPr>
          <w:rFonts w:hint="eastAsia" w:ascii="Times New Roman" w:hAnsi="Times New Roman" w:eastAsia="方正楷体_GBK" w:cs="Times New Roman"/>
          <w:color w:val="000000"/>
        </w:rPr>
        <w:t>B</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14</w:t>
      </w:r>
      <w:r>
        <w:rPr>
          <w:rFonts w:hint="eastAsia" w:ascii="Times New Roman" w:hAnsi="Times New Roman" w:cs="Times New Roman"/>
          <w:color w:val="000000"/>
        </w:rPr>
        <w:t>条</w:t>
      </w:r>
    </w:p>
    <w:p>
      <w:pPr>
        <w:pStyle w:val="5"/>
        <w:spacing w:line="400" w:lineRule="exact"/>
        <w:ind w:left="0" w:leftChars="0" w:firstLine="560" w:firstLineChars="200"/>
        <w:jc w:val="left"/>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四、多项选择</w:t>
      </w:r>
    </w:p>
    <w:p>
      <w:pPr>
        <w:pStyle w:val="2"/>
        <w:numPr>
          <w:ilvl w:val="0"/>
          <w:numId w:val="3"/>
        </w:numPr>
        <w:spacing w:before="0" w:beforeAutospacing="0" w:after="0" w:afterAutospacing="0" w:line="400" w:lineRule="exact"/>
        <w:rPr>
          <w:rFonts w:ascii="Times New Roman" w:hAnsi="Times New Roman" w:cs="Times New Roman"/>
          <w:color w:val="000000"/>
        </w:rPr>
      </w:pPr>
      <w:r>
        <w:rPr>
          <w:rFonts w:hint="eastAsia" w:ascii="黑体" w:hAnsi="黑体" w:eastAsia="黑体" w:cs="黑体"/>
          <w:color w:val="000000"/>
          <w:sz w:val="28"/>
          <w:szCs w:val="36"/>
          <w:lang w:val="en-US" w:eastAsia="zh-CN"/>
        </w:rPr>
        <w:t xml:space="preserve">    </w:t>
      </w:r>
      <w:bookmarkStart w:id="0" w:name="_Toc25938017"/>
      <w:bookmarkStart w:id="1" w:name="_Toc25937889"/>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，防雷工程施工现场质量管理标准是什么？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有相应的施工技术标准</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有健全的质量管理体系</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有施工质量检验制度</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有综合施工质量水平判断评定考核制度</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第3.1.1条</w:t>
      </w:r>
    </w:p>
    <w:p>
      <w:pPr>
        <w:pStyle w:val="2"/>
        <w:numPr>
          <w:ilvl w:val="0"/>
          <w:numId w:val="3"/>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，防雷工程施工质量控制要求是什么？</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w:t>
      </w:r>
      <w:r>
        <w:rPr>
          <w:rFonts w:hint="eastAsia" w:ascii="Times New Roman" w:hAnsi="Times New Roman" w:eastAsia="宋体" w:cs="Times New Roman"/>
          <w:color w:val="000000"/>
          <w:sz w:val="24"/>
          <w:szCs w:val="24"/>
        </w:rPr>
        <w:t xml:space="preserve"> 防雷工程采用的主要设备、材料、成品、半成品进场检验结论应有记录，并应在确认符合GB50601–2010的规定后再在施工中应用。对依法定程序批准进入市场的新设备、器具和材料进场验收，供应商尚应提供安装、使用、维修和试验要求等技术文件。对进口设备、器具和材料进场验收，供应商尚应提供商检（或国内检测机构）证明和中文的质量合格证明文件，规格、型号、性能检验报告，以及中文的安装、使用、维修和试验要求等技术文件。</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B.</w:t>
      </w:r>
      <w:r>
        <w:rPr>
          <w:rFonts w:hint="eastAsia" w:ascii="Times New Roman" w:hAnsi="Times New Roman" w:eastAsia="宋体" w:cs="Times New Roman"/>
          <w:color w:val="000000"/>
          <w:sz w:val="24"/>
          <w:szCs w:val="24"/>
        </w:rPr>
        <w:t xml:space="preserve"> 当对防雷工程采用的主要设备、材料、成品、半成品存在异议时，应由法定检测机构的试验室进行抽样检测，并应出具检测报告。</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w:t>
      </w:r>
      <w:r>
        <w:rPr>
          <w:rFonts w:hint="eastAsia" w:ascii="Times New Roman" w:hAnsi="Times New Roman" w:eastAsia="宋体" w:cs="Times New Roman"/>
          <w:color w:val="000000"/>
          <w:sz w:val="24"/>
          <w:szCs w:val="24"/>
        </w:rPr>
        <w:t xml:space="preserve"> 主要防雷装置的材料、规格和试验要求宜符合规定。</w:t>
      </w:r>
    </w:p>
    <w:p>
      <w:pPr>
        <w:spacing w:line="400" w:lineRule="exact"/>
        <w:ind w:firstLine="480" w:firstLineChars="200"/>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w:t>
      </w:r>
      <w:r>
        <w:rPr>
          <w:rFonts w:hint="eastAsia" w:ascii="Times New Roman" w:hAnsi="Times New Roman" w:eastAsia="宋体" w:cs="Times New Roman"/>
          <w:color w:val="000000"/>
          <w:sz w:val="24"/>
          <w:szCs w:val="24"/>
        </w:rPr>
        <w:t xml:space="preserve"> 有综合施工质量水平判断评定考核制度。</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第3.2.1条</w:t>
      </w:r>
    </w:p>
    <w:p>
      <w:pPr>
        <w:numPr>
          <w:ilvl w:val="0"/>
          <w:numId w:val="3"/>
        </w:numPr>
        <w:spacing w:line="400" w:lineRule="exact"/>
        <w:jc w:val="left"/>
        <w:rPr>
          <w:rFonts w:ascii="Times New Roman" w:hAnsi="Times New Roman" w:eastAsia="宋体" w:cs="Times New Roman"/>
          <w:color w:val="000000"/>
          <w:sz w:val="24"/>
          <w:szCs w:val="24"/>
          <w:shd w:val="clear" w:color="auto" w:fill="FFFFFF"/>
        </w:rPr>
      </w:pPr>
      <w:r>
        <w:rPr>
          <w:rFonts w:ascii="Times New Roman" w:hAnsi="Times New Roman" w:eastAsia="宋体" w:cs="Times New Roman"/>
          <w:color w:val="000000"/>
          <w:sz w:val="24"/>
          <w:szCs w:val="24"/>
        </w:rPr>
        <w:t>利用混凝土内钢筋作为自然引下线时，以下说法正确的有（    ）。</w:t>
      </w:r>
    </w:p>
    <w:p>
      <w:pPr>
        <w:spacing w:line="400" w:lineRule="exact"/>
        <w:ind w:firstLine="480" w:firstLineChars="200"/>
        <w:rPr>
          <w:rFonts w:ascii="Times New Roman" w:hAnsi="Times New Roman" w:eastAsia="宋体" w:cs="Times New Roman"/>
          <w:color w:val="000000"/>
          <w:sz w:val="24"/>
          <w:szCs w:val="24"/>
          <w:vertAlign w:val="subscript"/>
        </w:rPr>
      </w:pPr>
      <w:r>
        <w:rPr>
          <w:rFonts w:ascii="Times New Roman" w:hAnsi="Times New Roman" w:eastAsia="宋体" w:cs="Times New Roman"/>
          <w:color w:val="000000"/>
          <w:sz w:val="24"/>
          <w:szCs w:val="24"/>
        </w:rPr>
        <w:t>A.可采用绑扎法连接</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B.可焊接连接</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C.可螺丝扣连接</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D.可设置断接测试卡</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：ABC</w:t>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sz w:val="24"/>
          <w:szCs w:val="24"/>
        </w:rPr>
        <w:t>解析</w:t>
      </w:r>
      <w:r>
        <w:rPr>
          <w:rFonts w:ascii="Times New Roman" w:hAnsi="Times New Roman" w:eastAsia="宋体" w:cs="Times New Roman"/>
          <w:sz w:val="24"/>
          <w:szCs w:val="24"/>
        </w:rPr>
        <w:t>：</w:t>
      </w:r>
      <w:r>
        <w:rPr>
          <w:rFonts w:ascii="Times New Roman" w:hAnsi="Times New Roman" w:eastAsia="宋体" w:cs="Times New Roman"/>
          <w:color w:val="000000"/>
          <w:sz w:val="24"/>
          <w:szCs w:val="24"/>
        </w:rPr>
        <w:t>GB 5060</w:t>
      </w:r>
      <w:r>
        <w:rPr>
          <w:rFonts w:hint="eastAsia" w:ascii="Times New Roman" w:hAnsi="Times New Roman" w:eastAsia="宋体" w:cs="Times New Roman"/>
          <w:color w:val="000000"/>
          <w:sz w:val="24"/>
          <w:szCs w:val="24"/>
        </w:rPr>
        <w:t>1</w:t>
      </w:r>
      <w:r>
        <w:rPr>
          <w:rFonts w:ascii="Times New Roman" w:hAnsi="Times New Roman" w:eastAsia="宋体" w:cs="Times New Roman"/>
          <w:color w:val="000000"/>
          <w:sz w:val="24"/>
          <w:szCs w:val="24"/>
        </w:rPr>
        <w:t>-2010</w:t>
      </w:r>
      <w:r>
        <w:rPr>
          <w:rFonts w:ascii="Times New Roman" w:hAnsi="Times New Roman" w:eastAsia="宋体" w:cs="Times New Roman"/>
          <w:sz w:val="24"/>
          <w:szCs w:val="24"/>
        </w:rPr>
        <w:t>《建筑物防雷工程施工与质量验收规范》</w:t>
      </w:r>
      <w:r>
        <w:rPr>
          <w:rFonts w:ascii="Times New Roman" w:hAnsi="Times New Roman" w:eastAsia="宋体" w:cs="Times New Roman"/>
          <w:color w:val="000000"/>
          <w:sz w:val="24"/>
          <w:szCs w:val="24"/>
        </w:rPr>
        <w:t>第5.1.2条</w:t>
      </w:r>
      <w:r>
        <w:rPr>
          <w:rFonts w:hint="eastAsia" w:ascii="Times New Roman" w:hAnsi="Times New Roman" w:eastAsia="宋体" w:cs="Times New Roman"/>
          <w:color w:val="000000"/>
          <w:sz w:val="24"/>
          <w:szCs w:val="24"/>
        </w:rPr>
        <w:t>第2款</w:t>
      </w:r>
    </w:p>
    <w:p>
      <w:pPr>
        <w:numPr>
          <w:ilvl w:val="0"/>
          <w:numId w:val="3"/>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接闪器的接闪导线应位置正确、（    ）</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焊接的焊缝应饱满无遗漏，螺栓固定的应有防松零件。</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A.平正</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 xml:space="preserve">B.顺直    </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C.急弯</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D.无急弯</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sz w:val="24"/>
          <w:szCs w:val="24"/>
        </w:rPr>
        <w:t>答案</w:t>
      </w:r>
      <w:r>
        <w:rPr>
          <w:rFonts w:ascii="Times New Roman" w:hAnsi="Times New Roman" w:eastAsia="宋体" w:cs="Times New Roman"/>
          <w:color w:val="000000"/>
          <w:sz w:val="24"/>
          <w:szCs w:val="24"/>
        </w:rPr>
        <w:t>：ABD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sz w:val="24"/>
          <w:szCs w:val="24"/>
        </w:rPr>
        <w:t>解析</w:t>
      </w:r>
      <w:r>
        <w:rPr>
          <w:rFonts w:ascii="Times New Roman" w:hAnsi="Times New Roman" w:eastAsia="宋体" w:cs="Times New Roman"/>
          <w:sz w:val="24"/>
          <w:szCs w:val="24"/>
        </w:rPr>
        <w:t>：</w:t>
      </w:r>
      <w:r>
        <w:rPr>
          <w:rFonts w:ascii="Times New Roman" w:hAnsi="Times New Roman" w:eastAsia="宋体" w:cs="Times New Roman"/>
          <w:color w:val="000000"/>
          <w:sz w:val="24"/>
          <w:szCs w:val="24"/>
        </w:rPr>
        <w:t>GB 50601-201</w:t>
      </w:r>
      <w:r>
        <w:rPr>
          <w:rFonts w:hint="eastAsia" w:ascii="Times New Roman" w:hAnsi="Times New Roman" w:eastAsia="宋体" w:cs="Times New Roman"/>
          <w:color w:val="000000"/>
          <w:sz w:val="24"/>
          <w:szCs w:val="24"/>
        </w:rPr>
        <w:t>0</w:t>
      </w:r>
      <w:r>
        <w:rPr>
          <w:rFonts w:ascii="Times New Roman" w:hAnsi="Times New Roman" w:eastAsia="宋体" w:cs="Times New Roman"/>
          <w:sz w:val="24"/>
          <w:szCs w:val="24"/>
        </w:rPr>
        <w:t>《建筑物防雷工程施工与质量验收规范》</w:t>
      </w:r>
      <w:r>
        <w:rPr>
          <w:rFonts w:ascii="Times New Roman" w:hAnsi="Times New Roman" w:eastAsia="宋体" w:cs="Times New Roman"/>
          <w:color w:val="000000"/>
          <w:sz w:val="24"/>
          <w:szCs w:val="24"/>
        </w:rPr>
        <w:t>第6.1.1条</w:t>
      </w:r>
    </w:p>
    <w:p>
      <w:pPr>
        <w:numPr>
          <w:ilvl w:val="0"/>
          <w:numId w:val="3"/>
        </w:numPr>
        <w:spacing w:line="400" w:lineRule="exact"/>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spacing w:val="4"/>
          <w:sz w:val="24"/>
          <w:szCs w:val="24"/>
        </w:rPr>
        <w:t>专用</w:t>
      </w:r>
      <w:r>
        <w:rPr>
          <w:rFonts w:ascii="Times New Roman" w:hAnsi="Times New Roman" w:eastAsia="宋体" w:cs="Times New Roman"/>
          <w:color w:val="000000"/>
          <w:sz w:val="24"/>
          <w:szCs w:val="24"/>
        </w:rPr>
        <w:t>屏蔽室应安装（    ），并应检查屏蔽焊缝的严密和牢固。</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A.</w:t>
      </w:r>
      <w:r>
        <w:rPr>
          <w:rFonts w:ascii="Times New Roman" w:hAnsi="Times New Roman" w:eastAsia="宋体" w:cs="Times New Roman"/>
          <w:color w:val="000000"/>
          <w:sz w:val="24"/>
          <w:szCs w:val="24"/>
        </w:rPr>
        <w:t>屏蔽门</w:t>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B.</w:t>
      </w:r>
      <w:r>
        <w:rPr>
          <w:rFonts w:ascii="Times New Roman" w:hAnsi="Times New Roman" w:eastAsia="宋体" w:cs="Times New Roman"/>
          <w:color w:val="000000"/>
          <w:sz w:val="24"/>
          <w:szCs w:val="24"/>
        </w:rPr>
        <w:t>屏蔽窗</w:t>
      </w:r>
      <w:r>
        <w:rPr>
          <w:rFonts w:hint="eastAsia" w:ascii="Times New Roman" w:hAnsi="Times New Roman" w:eastAsia="宋体" w:cs="Times New Roman"/>
          <w:color w:val="000000"/>
          <w:sz w:val="24"/>
          <w:szCs w:val="24"/>
        </w:rPr>
        <w:tab/>
      </w:r>
      <w:r>
        <w:rPr>
          <w:rFonts w:hint="eastAsia" w:ascii="Times New Roman" w:hAnsi="Times New Roman" w:eastAsia="宋体" w:cs="Times New Roman"/>
          <w:color w:val="000000"/>
          <w:sz w:val="24"/>
          <w:szCs w:val="24"/>
        </w:rPr>
        <w:tab/>
      </w:r>
      <w:r>
        <w:rPr>
          <w:rFonts w:hint="eastAsia" w:ascii="Times New Roman" w:hAnsi="Times New Roman" w:eastAsia="宋体" w:cs="Times New Roman"/>
          <w:color w:val="000000"/>
          <w:sz w:val="24"/>
          <w:szCs w:val="24"/>
        </w:rPr>
        <w:tab/>
      </w:r>
      <w:r>
        <w:rPr>
          <w:rFonts w:hint="eastAsia" w:ascii="Times New Roman" w:hAnsi="Times New Roman" w:eastAsia="宋体" w:cs="Times New Roman"/>
          <w:color w:val="000000"/>
          <w:sz w:val="24"/>
          <w:szCs w:val="24"/>
        </w:rPr>
        <w:tab/>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C.</w:t>
      </w:r>
      <w:r>
        <w:rPr>
          <w:rFonts w:ascii="Times New Roman" w:hAnsi="Times New Roman" w:eastAsia="宋体" w:cs="Times New Roman"/>
          <w:color w:val="000000"/>
          <w:sz w:val="24"/>
          <w:szCs w:val="24"/>
        </w:rPr>
        <w:t>滤波器</w:t>
      </w:r>
      <w:r>
        <w:rPr>
          <w:rFonts w:ascii="Times New Roman" w:hAnsi="Times New Roman" w:eastAsia="宋体" w:cs="Times New Roman"/>
          <w:color w:val="000000"/>
          <w:kern w:val="0"/>
          <w:sz w:val="24"/>
          <w:szCs w:val="24"/>
        </w:rPr>
        <w:t xml:space="preserve">  </w:t>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D.过滤器</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bCs/>
          <w:color w:val="000000"/>
          <w:kern w:val="0"/>
          <w:sz w:val="24"/>
          <w:szCs w:val="24"/>
        </w:rPr>
        <w:t>：</w:t>
      </w:r>
      <w:r>
        <w:rPr>
          <w:rFonts w:ascii="Times New Roman" w:hAnsi="Times New Roman" w:eastAsia="宋体" w:cs="Times New Roman"/>
          <w:color w:val="000000"/>
          <w:sz w:val="24"/>
          <w:szCs w:val="24"/>
        </w:rPr>
        <w:t>ABC</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bCs/>
          <w:color w:val="000000"/>
          <w:kern w:val="0"/>
          <w:sz w:val="24"/>
          <w:szCs w:val="24"/>
        </w:rPr>
        <w:t>：GB</w:t>
      </w:r>
      <w:r>
        <w:rPr>
          <w:rFonts w:hint="eastAsia" w:ascii="Times New Roman" w:hAnsi="Times New Roman" w:eastAsia="宋体" w:cs="Times New Roman"/>
          <w:bCs/>
          <w:color w:val="000000"/>
          <w:kern w:val="0"/>
          <w:sz w:val="24"/>
          <w:szCs w:val="24"/>
        </w:rPr>
        <w:t xml:space="preserve"> </w:t>
      </w:r>
      <w:r>
        <w:rPr>
          <w:rFonts w:ascii="Times New Roman" w:hAnsi="Times New Roman" w:eastAsia="宋体" w:cs="Times New Roman"/>
          <w:bCs/>
          <w:color w:val="000000"/>
          <w:kern w:val="0"/>
          <w:sz w:val="24"/>
          <w:szCs w:val="24"/>
        </w:rPr>
        <w:t>50601-2010</w:t>
      </w:r>
      <w:r>
        <w:rPr>
          <w:rFonts w:ascii="Times New Roman" w:hAnsi="Times New Roman" w:eastAsia="宋体" w:cs="Times New Roman"/>
          <w:sz w:val="24"/>
          <w:szCs w:val="24"/>
        </w:rPr>
        <w:t>《建筑物防雷工程施工与质量验收规范》</w:t>
      </w:r>
      <w:r>
        <w:rPr>
          <w:rFonts w:ascii="Times New Roman" w:hAnsi="Times New Roman" w:eastAsia="宋体" w:cs="Times New Roman"/>
          <w:bCs/>
          <w:color w:val="000000"/>
          <w:kern w:val="0"/>
          <w:sz w:val="24"/>
          <w:szCs w:val="24"/>
        </w:rPr>
        <w:t>第</w:t>
      </w:r>
      <w:r>
        <w:rPr>
          <w:rFonts w:ascii="Times New Roman" w:hAnsi="Times New Roman" w:eastAsia="宋体" w:cs="Times New Roman"/>
          <w:color w:val="000000"/>
          <w:kern w:val="0"/>
          <w:sz w:val="24"/>
          <w:szCs w:val="24"/>
        </w:rPr>
        <w:t>8.2.2条第3款</w:t>
      </w:r>
    </w:p>
    <w:p>
      <w:pPr>
        <w:numPr>
          <w:ilvl w:val="0"/>
          <w:numId w:val="3"/>
        </w:numPr>
        <w:spacing w:line="400" w:lineRule="exact"/>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sz w:val="24"/>
          <w:szCs w:val="24"/>
        </w:rPr>
        <w:t>（    ）的交流和直流电线不应穿于同一金属管中，同一交流回路的电线应穿于同一金属管中，管内电线不得有接头。</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A.</w:t>
      </w:r>
      <w:r>
        <w:rPr>
          <w:rFonts w:ascii="Times New Roman" w:hAnsi="Times New Roman" w:eastAsia="宋体" w:cs="Times New Roman"/>
          <w:color w:val="000000"/>
          <w:sz w:val="24"/>
          <w:szCs w:val="24"/>
        </w:rPr>
        <w:t>不同回路</w:t>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B.相</w:t>
      </w:r>
      <w:r>
        <w:rPr>
          <w:rFonts w:ascii="Times New Roman" w:hAnsi="Times New Roman" w:eastAsia="宋体" w:cs="Times New Roman"/>
          <w:color w:val="000000"/>
          <w:sz w:val="24"/>
          <w:szCs w:val="24"/>
        </w:rPr>
        <w:t>同回路</w:t>
      </w:r>
      <w:r>
        <w:rPr>
          <w:rFonts w:ascii="Times New Roman" w:hAnsi="Times New Roman" w:eastAsia="宋体" w:cs="Times New Roman"/>
          <w:color w:val="000000"/>
          <w:kern w:val="0"/>
          <w:sz w:val="24"/>
          <w:szCs w:val="24"/>
        </w:rPr>
        <w:tab/>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C.</w:t>
      </w:r>
      <w:r>
        <w:rPr>
          <w:rFonts w:ascii="Times New Roman" w:hAnsi="Times New Roman" w:eastAsia="宋体" w:cs="Times New Roman"/>
          <w:color w:val="000000"/>
          <w:sz w:val="24"/>
          <w:szCs w:val="24"/>
        </w:rPr>
        <w:t>不同电压等级</w:t>
      </w:r>
      <w:r>
        <w:rPr>
          <w:rFonts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r>
        <w:rPr>
          <w:rFonts w:hint="eastAsia" w:ascii="Times New Roman" w:hAnsi="Times New Roman" w:eastAsia="宋体" w:cs="Times New Roman"/>
          <w:color w:val="000000"/>
          <w:kern w:val="0"/>
          <w:sz w:val="24"/>
          <w:szCs w:val="24"/>
        </w:rPr>
        <w:tab/>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D.</w:t>
      </w:r>
      <w:r>
        <w:rPr>
          <w:rFonts w:ascii="Times New Roman" w:hAnsi="Times New Roman" w:eastAsia="宋体" w:cs="Times New Roman"/>
          <w:color w:val="000000"/>
          <w:sz w:val="24"/>
          <w:szCs w:val="24"/>
        </w:rPr>
        <w:t>不同电流等级</w:t>
      </w:r>
      <w:r>
        <w:rPr>
          <w:rFonts w:ascii="Times New Roman" w:hAnsi="Times New Roman" w:eastAsia="宋体" w:cs="Times New Roman"/>
          <w:color w:val="000000"/>
          <w:kern w:val="0"/>
          <w:sz w:val="24"/>
          <w:szCs w:val="24"/>
        </w:rPr>
        <w:tab/>
      </w:r>
      <w:r>
        <w:rPr>
          <w:rFonts w:ascii="Times New Roman" w:hAnsi="Times New Roman" w:eastAsia="宋体" w:cs="Times New Roman"/>
          <w:color w:val="000000"/>
          <w:kern w:val="0"/>
          <w:sz w:val="24"/>
          <w:szCs w:val="24"/>
        </w:rPr>
        <w:tab/>
      </w:r>
      <w:r>
        <w:rPr>
          <w:rFonts w:ascii="Times New Roman" w:hAnsi="Times New Roman" w:eastAsia="宋体" w:cs="Times New Roman"/>
          <w:color w:val="000000"/>
          <w:kern w:val="0"/>
          <w:sz w:val="24"/>
          <w:szCs w:val="24"/>
        </w:rPr>
        <w:tab/>
      </w:r>
      <w:r>
        <w:rPr>
          <w:rFonts w:ascii="Times New Roman" w:hAnsi="Times New Roman" w:eastAsia="宋体" w:cs="Times New Roman"/>
          <w:color w:val="000000"/>
          <w:kern w:val="0"/>
          <w:sz w:val="24"/>
          <w:szCs w:val="24"/>
        </w:rPr>
        <w:tab/>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bCs/>
          <w:color w:val="000000"/>
          <w:kern w:val="0"/>
          <w:sz w:val="24"/>
          <w:szCs w:val="24"/>
        </w:rPr>
        <w:t>：</w:t>
      </w:r>
      <w:r>
        <w:rPr>
          <w:rFonts w:ascii="Times New Roman" w:hAnsi="Times New Roman" w:eastAsia="宋体" w:cs="Times New Roman"/>
          <w:color w:val="000000"/>
          <w:sz w:val="24"/>
          <w:szCs w:val="24"/>
        </w:rPr>
        <w:t>AC</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bCs/>
          <w:color w:val="000000"/>
          <w:kern w:val="0"/>
          <w:sz w:val="24"/>
          <w:szCs w:val="24"/>
        </w:rPr>
        <w:t>：GB</w:t>
      </w:r>
      <w:r>
        <w:rPr>
          <w:rFonts w:hint="eastAsia" w:ascii="Times New Roman" w:hAnsi="Times New Roman" w:eastAsia="宋体" w:cs="Times New Roman"/>
          <w:bCs/>
          <w:color w:val="000000"/>
          <w:kern w:val="0"/>
          <w:sz w:val="24"/>
          <w:szCs w:val="24"/>
        </w:rPr>
        <w:t xml:space="preserve"> </w:t>
      </w:r>
      <w:r>
        <w:rPr>
          <w:rFonts w:ascii="Times New Roman" w:hAnsi="Times New Roman" w:eastAsia="宋体" w:cs="Times New Roman"/>
          <w:bCs/>
          <w:color w:val="000000"/>
          <w:kern w:val="0"/>
          <w:sz w:val="24"/>
          <w:szCs w:val="24"/>
        </w:rPr>
        <w:t xml:space="preserve">50601-2010 </w:t>
      </w:r>
      <w:r>
        <w:rPr>
          <w:rFonts w:ascii="Times New Roman" w:hAnsi="Times New Roman" w:eastAsia="宋体" w:cs="Times New Roman"/>
          <w:sz w:val="24"/>
          <w:szCs w:val="24"/>
        </w:rPr>
        <w:t>《建筑物防雷工程施工与质量验收规范》</w:t>
      </w:r>
      <w:r>
        <w:rPr>
          <w:rFonts w:ascii="Times New Roman" w:hAnsi="Times New Roman" w:eastAsia="宋体" w:cs="Times New Roman"/>
          <w:bCs/>
          <w:color w:val="000000"/>
          <w:kern w:val="0"/>
          <w:sz w:val="24"/>
          <w:szCs w:val="24"/>
        </w:rPr>
        <w:t>第</w:t>
      </w:r>
      <w:r>
        <w:rPr>
          <w:rFonts w:ascii="Times New Roman" w:hAnsi="Times New Roman" w:eastAsia="宋体" w:cs="Times New Roman"/>
          <w:color w:val="000000"/>
          <w:kern w:val="0"/>
          <w:sz w:val="24"/>
          <w:szCs w:val="24"/>
        </w:rPr>
        <w:t>9.1.1条第2款</w:t>
      </w:r>
    </w:p>
    <w:p>
      <w:pPr>
        <w:numPr>
          <w:ilvl w:val="0"/>
          <w:numId w:val="3"/>
        </w:numPr>
        <w:spacing w:line="400" w:lineRule="exact"/>
        <w:jc w:val="left"/>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当建筑物上有外部防雷装置，或建筑物上虽未敷设外部防雷装置，但与之邻近的建筑物上有外部防雷装置且两建筑物之间有电气联系时，有外部防雷装置的建筑物和有电气联系的建筑物内总配电柜上安装的SPD应符合下列要求（    ）</w:t>
      </w:r>
      <w:r>
        <w:rPr>
          <w:rFonts w:hint="eastAsia" w:ascii="Times New Roman" w:hAnsi="Times New Roman" w:eastAsia="宋体" w:cs="Times New Roman"/>
          <w:color w:val="000000"/>
          <w:sz w:val="24"/>
          <w:szCs w:val="24"/>
        </w:rPr>
        <w:t>。</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A.</w:t>
      </w:r>
      <w:r>
        <w:rPr>
          <w:rFonts w:ascii="Times New Roman" w:hAnsi="Times New Roman" w:eastAsia="宋体" w:cs="Times New Roman"/>
          <w:color w:val="000000"/>
          <w:sz w:val="24"/>
          <w:szCs w:val="24"/>
        </w:rPr>
        <w:t>应当使用</w:t>
      </w:r>
      <w:r>
        <w:rPr>
          <w:rFonts w:hint="eastAsia" w:ascii="Times New Roman" w:hAnsi="Times New Roman" w:eastAsia="宋体" w:cs="Times New Roman"/>
          <w:color w:val="000000"/>
          <w:sz w:val="24"/>
          <w:szCs w:val="24"/>
        </w:rPr>
        <w:t>Ⅰ</w:t>
      </w:r>
      <w:r>
        <w:rPr>
          <w:rFonts w:ascii="Times New Roman" w:hAnsi="Times New Roman" w:eastAsia="宋体" w:cs="Times New Roman"/>
          <w:color w:val="000000"/>
          <w:sz w:val="24"/>
          <w:szCs w:val="24"/>
        </w:rPr>
        <w:t>级分类试验的SPD</w:t>
      </w:r>
      <w:r>
        <w:rPr>
          <w:rFonts w:ascii="Times New Roman" w:hAnsi="Times New Roman" w:eastAsia="宋体" w:cs="Times New Roman"/>
          <w:color w:val="000000"/>
          <w:kern w:val="0"/>
          <w:sz w:val="24"/>
          <w:szCs w:val="24"/>
        </w:rPr>
        <w:t xml:space="preserve">            </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B.</w:t>
      </w:r>
      <w:r>
        <w:rPr>
          <w:rFonts w:ascii="Times New Roman" w:hAnsi="Times New Roman" w:eastAsia="宋体" w:cs="Times New Roman"/>
          <w:color w:val="000000"/>
          <w:spacing w:val="4"/>
          <w:sz w:val="24"/>
          <w:szCs w:val="24"/>
        </w:rPr>
        <w:t>低压配电系统的SPD冲击电流应不小于12.5kA(10/350μs)</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C.</w:t>
      </w:r>
      <w:r>
        <w:rPr>
          <w:rFonts w:ascii="Times New Roman" w:hAnsi="Times New Roman" w:eastAsia="宋体" w:cs="Times New Roman"/>
          <w:color w:val="000000"/>
          <w:spacing w:val="4"/>
          <w:sz w:val="24"/>
          <w:szCs w:val="24"/>
        </w:rPr>
        <w:t>低压配电系统的SPD电压保护水平不应大于2.5kV</w:t>
      </w:r>
      <w:r>
        <w:rPr>
          <w:rFonts w:ascii="Times New Roman" w:hAnsi="Times New Roman" w:eastAsia="宋体" w:cs="Times New Roman"/>
          <w:color w:val="000000"/>
          <w:kern w:val="0"/>
          <w:sz w:val="24"/>
          <w:szCs w:val="24"/>
        </w:rPr>
        <w:t xml:space="preserve">             </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D.</w:t>
      </w:r>
      <w:r>
        <w:rPr>
          <w:rFonts w:ascii="Times New Roman" w:hAnsi="Times New Roman" w:eastAsia="宋体" w:cs="Times New Roman"/>
          <w:color w:val="000000"/>
          <w:spacing w:val="4"/>
          <w:sz w:val="24"/>
          <w:szCs w:val="24"/>
        </w:rPr>
        <w:t>低压配电系统的SPD最大持续运行电压应根据</w:t>
      </w:r>
      <w:r>
        <w:rPr>
          <w:rFonts w:ascii="Times New Roman" w:hAnsi="Times New Roman" w:eastAsia="宋体" w:cs="Times New Roman"/>
          <w:color w:val="000000"/>
          <w:sz w:val="24"/>
          <w:szCs w:val="24"/>
        </w:rPr>
        <w:t>低压配电系统的接地型式选取</w:t>
      </w:r>
    </w:p>
    <w:p>
      <w:pPr>
        <w:spacing w:line="400" w:lineRule="exact"/>
        <w:ind w:firstLine="480" w:firstLineChars="200"/>
        <w:rPr>
          <w:rFonts w:ascii="Times New Roman" w:hAnsi="Times New Roman" w:eastAsia="宋体" w:cs="Times New Roman"/>
          <w:color w:val="000000"/>
          <w:kern w:val="0"/>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bCs/>
          <w:color w:val="000000"/>
          <w:kern w:val="0"/>
          <w:sz w:val="24"/>
          <w:szCs w:val="24"/>
        </w:rPr>
        <w:t>：</w:t>
      </w:r>
      <w:r>
        <w:rPr>
          <w:rFonts w:ascii="Times New Roman" w:hAnsi="Times New Roman" w:eastAsia="宋体" w:cs="Times New Roman"/>
          <w:color w:val="000000"/>
          <w:sz w:val="24"/>
          <w:szCs w:val="24"/>
        </w:rPr>
        <w:t>ABCD</w:t>
      </w:r>
    </w:p>
    <w:p>
      <w:pPr>
        <w:spacing w:line="400" w:lineRule="exact"/>
        <w:ind w:firstLine="480" w:firstLineChars="200"/>
        <w:rPr>
          <w:rFonts w:ascii="Times New Roman" w:hAnsi="Times New Roman" w:eastAsia="宋体" w:cs="Times New Roman"/>
          <w:color w:val="000000"/>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bCs/>
          <w:color w:val="000000"/>
          <w:kern w:val="0"/>
          <w:sz w:val="24"/>
          <w:szCs w:val="24"/>
        </w:rPr>
        <w:t>：GB</w:t>
      </w:r>
      <w:r>
        <w:rPr>
          <w:rFonts w:hint="eastAsia" w:ascii="Times New Roman" w:hAnsi="Times New Roman" w:eastAsia="宋体" w:cs="Times New Roman"/>
          <w:bCs/>
          <w:color w:val="000000"/>
          <w:kern w:val="0"/>
          <w:sz w:val="24"/>
          <w:szCs w:val="24"/>
        </w:rPr>
        <w:t xml:space="preserve"> </w:t>
      </w:r>
      <w:r>
        <w:rPr>
          <w:rFonts w:ascii="Times New Roman" w:hAnsi="Times New Roman" w:eastAsia="宋体" w:cs="Times New Roman"/>
          <w:bCs/>
          <w:color w:val="000000"/>
          <w:kern w:val="0"/>
          <w:sz w:val="24"/>
          <w:szCs w:val="24"/>
        </w:rPr>
        <w:t xml:space="preserve">50601-2010 </w:t>
      </w:r>
      <w:r>
        <w:rPr>
          <w:rFonts w:ascii="Times New Roman" w:hAnsi="Times New Roman" w:eastAsia="宋体" w:cs="Times New Roman"/>
          <w:sz w:val="24"/>
          <w:szCs w:val="24"/>
        </w:rPr>
        <w:t>《建筑物防雷工程施工与质量验收规范》</w:t>
      </w:r>
      <w:r>
        <w:rPr>
          <w:rFonts w:ascii="Times New Roman" w:hAnsi="Times New Roman" w:eastAsia="宋体" w:cs="Times New Roman"/>
          <w:bCs/>
          <w:color w:val="000000"/>
          <w:kern w:val="0"/>
          <w:sz w:val="24"/>
          <w:szCs w:val="24"/>
        </w:rPr>
        <w:t>第</w:t>
      </w:r>
      <w:r>
        <w:rPr>
          <w:rFonts w:ascii="Times New Roman" w:hAnsi="Times New Roman" w:eastAsia="宋体" w:cs="Times New Roman"/>
          <w:color w:val="000000"/>
          <w:kern w:val="0"/>
          <w:sz w:val="24"/>
          <w:szCs w:val="24"/>
        </w:rPr>
        <w:t>10.1.1条第3款</w:t>
      </w:r>
    </w:p>
    <w:p>
      <w:pPr>
        <w:numPr>
          <w:ilvl w:val="0"/>
          <w:numId w:val="3"/>
        </w:numPr>
        <w:spacing w:line="400" w:lineRule="exact"/>
        <w:jc w:val="left"/>
        <w:rPr>
          <w:rFonts w:ascii="Times New Roman" w:hAnsi="Times New Roman" w:eastAsia="宋体" w:cs="Times New Roman"/>
          <w:sz w:val="24"/>
          <w:szCs w:val="24"/>
        </w:rPr>
      </w:pPr>
      <w:r>
        <w:rPr>
          <w:rFonts w:ascii="Times New Roman" w:hAnsi="Times New Roman" w:eastAsia="宋体" w:cs="Times New Roman"/>
          <w:sz w:val="24"/>
          <w:szCs w:val="24"/>
        </w:rPr>
        <w:t>SPD内部未设计热脱扣装置时，对失效模式为短路型的SPD，应在其前端安装</w:t>
      </w:r>
      <w:r>
        <w:rPr>
          <w:rFonts w:ascii="Times New Roman" w:hAnsi="Times New Roman" w:eastAsia="宋体" w:cs="Times New Roman"/>
          <w:color w:val="000000"/>
          <w:sz w:val="24"/>
          <w:szCs w:val="24"/>
        </w:rPr>
        <w:t>（    ）</w:t>
      </w:r>
      <w:r>
        <w:rPr>
          <w:rFonts w:ascii="Times New Roman" w:hAnsi="Times New Roman" w:eastAsia="宋体" w:cs="Times New Roman"/>
          <w:sz w:val="24"/>
          <w:szCs w:val="24"/>
        </w:rPr>
        <w:t>进行后备过电流保护。</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热熔线圈</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断路器</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刀开关</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ascii="Times New Roman" w:hAnsi="Times New Roman" w:eastAsia="宋体" w:cs="Times New Roman"/>
          <w:color w:val="000000"/>
          <w:sz w:val="24"/>
          <w:szCs w:val="24"/>
        </w:rPr>
        <w:t>.</w:t>
      </w:r>
      <w:r>
        <w:rPr>
          <w:rFonts w:ascii="Times New Roman" w:hAnsi="Times New Roman" w:eastAsia="宋体" w:cs="Times New Roman"/>
          <w:sz w:val="24"/>
          <w:szCs w:val="24"/>
        </w:rPr>
        <w:t>熔丝</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黑体" w:cs="Times New Roman"/>
          <w:color w:val="000000"/>
          <w:kern w:val="0"/>
          <w:sz w:val="24"/>
          <w:szCs w:val="24"/>
        </w:rPr>
        <w:t>答案</w:t>
      </w:r>
      <w:r>
        <w:rPr>
          <w:rFonts w:ascii="Times New Roman" w:hAnsi="Times New Roman" w:eastAsia="宋体" w:cs="Times New Roman"/>
          <w:color w:val="000000"/>
          <w:kern w:val="0"/>
          <w:sz w:val="24"/>
          <w:szCs w:val="24"/>
        </w:rPr>
        <w:t>：</w:t>
      </w:r>
      <w:r>
        <w:rPr>
          <w:rFonts w:ascii="Times New Roman" w:hAnsi="Times New Roman" w:eastAsia="宋体" w:cs="Times New Roman"/>
          <w:sz w:val="24"/>
          <w:szCs w:val="24"/>
        </w:rPr>
        <w:t>ABD</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黑体" w:cs="Times New Roman"/>
          <w:color w:val="000000"/>
          <w:kern w:val="0"/>
          <w:sz w:val="24"/>
          <w:szCs w:val="24"/>
        </w:rPr>
        <w:t>解析</w:t>
      </w:r>
      <w:r>
        <w:rPr>
          <w:rFonts w:ascii="Times New Roman" w:hAnsi="Times New Roman" w:eastAsia="宋体" w:cs="Times New Roman"/>
          <w:sz w:val="24"/>
          <w:szCs w:val="24"/>
        </w:rPr>
        <w:t>：GB 50601-2010《建筑物防雷工程施工与质量验收规范》</w:t>
      </w:r>
      <w:r>
        <w:rPr>
          <w:rFonts w:hint="eastAsia" w:ascii="Times New Roman" w:hAnsi="Times New Roman" w:eastAsia="宋体" w:cs="Times New Roman"/>
          <w:sz w:val="24"/>
          <w:szCs w:val="24"/>
        </w:rPr>
        <w:t>第10.1.1第4款</w:t>
      </w:r>
    </w:p>
    <w:p>
      <w:pPr>
        <w:pStyle w:val="2"/>
        <w:numPr>
          <w:ilvl w:val="0"/>
          <w:numId w:val="3"/>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w:t>
      </w:r>
      <w:r>
        <w:rPr>
          <w:rFonts w:hint="eastAsia" w:ascii="Times New Roman" w:hAnsi="Times New Roman"/>
          <w:color w:val="000000"/>
        </w:rPr>
        <w:t>在建筑物外人员可经过或停留的引下线与接地体连接处3m范围内，应采用下列何种措施防止跨步电压对人员造成伤害</w:t>
      </w:r>
      <w:r>
        <w:rPr>
          <w:rFonts w:hint="eastAsia" w:ascii="Times New Roman" w:hAnsi="Times New Roman" w:cs="Times New Roman"/>
          <w:color w:val="000000"/>
        </w:rPr>
        <w:t>？</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对引下线采取隔离措施</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铺设使地面电阻率不小于50kΩ·m的5cm厚的沥青层或15cm厚的砾石层。</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设立阻止人员进入的护栏或警示牌。</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将接地体敷设成水平网格。</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BCD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第4.1.1条</w:t>
      </w:r>
    </w:p>
    <w:p>
      <w:pPr>
        <w:pStyle w:val="2"/>
        <w:numPr>
          <w:ilvl w:val="0"/>
          <w:numId w:val="3"/>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，接地装置主控项目的安装规定是什么？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利用建筑物桩基、梁、柱内钢筋做接地装置的自然接地体和为接地需要而专门埋设的人工接地体，应在地面以上按设计要求的位置设置可供测量、接人工接地体和做等电位连接用的连接板。</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接地装置的接地电阻值应符合设计文件的要求。</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在建筑物外人员可经过或停留的引下线与接地体连接处3m范围内，应采用防止跨步电压措施对人员造成伤害。</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当工程设计文件对第一类防雷建筑物接地装置设计为独立接地时，独立接地体与建筑物基础地网及与其有联系的管道、电缆等金属物之间的间隔距离，应符合现行国家标准《建筑物防雷设计规范》GB50057中第4.2.1条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第4.1.1条</w:t>
      </w:r>
    </w:p>
    <w:p>
      <w:pPr>
        <w:pStyle w:val="2"/>
        <w:numPr>
          <w:ilvl w:val="0"/>
          <w:numId w:val="3"/>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，接地装置一般项目中降低接地电阻的方法是什么？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将垂直接地体深埋到低电阻率的土壤中或扩大接地体与土壤的接触面积。</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置换成低电阻率的土壤。采用降阻剂或新型接地材料。</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采用多根导体外引，外引长度不应大于现行国家标准《建筑物防雷设计规范》GB50057中第5.4.6条的规定。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在永冻土地区和采用深孔（井）技术的降阻方法，应符合现行国家标准《电气装置安装工程  接地装置施工及验收规范 》GB50169-2006中第3.2.10条～第3.2.12条的规定。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第4.1.2条</w:t>
      </w:r>
    </w:p>
    <w:p>
      <w:pPr>
        <w:pStyle w:val="2"/>
        <w:numPr>
          <w:ilvl w:val="0"/>
          <w:numId w:val="3"/>
        </w:numPr>
        <w:spacing w:before="0" w:beforeAutospacing="0" w:after="0" w:afterAutospacing="0" w:line="400" w:lineRule="exact"/>
        <w:rPr>
          <w:rFonts w:ascii="Times New Roman" w:hAnsi="Times New Roman" w:cs="Times New Roman"/>
          <w:color w:val="000000"/>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w:t>
      </w:r>
      <w:r>
        <w:rPr>
          <w:rFonts w:hint="eastAsia" w:ascii="Times New Roman" w:hAnsi="Times New Roman"/>
          <w:color w:val="000000"/>
        </w:rPr>
        <w:t>建筑物外的引下线敷设在人员可停留或经过的区域时，应采用何种方法，防止接触电压和旁侧闪络电压对人员造成伤害</w:t>
      </w:r>
      <w:r>
        <w:rPr>
          <w:rFonts w:hint="eastAsia" w:ascii="Times New Roman" w:hAnsi="Times New Roman" w:cs="Times New Roman"/>
          <w:color w:val="000000"/>
        </w:rPr>
        <w:t>？</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外露引下线在高2.7m以下部分穿不小于3mm厚的交联聚乙烯管，交联聚乙烯管应能耐受100kV冲击电压（1.2/50μs波形）。</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应设立阻止人员进入的护拦或警示牌。护拦与引下线水平距离不应小于3 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采用多根引下线。</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置换成低电阻率的土壤。</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第5.1.1条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kern w:val="2"/>
        </w:rPr>
        <w:t>，引下线安装主控项目的规定是什么？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第一类、第二类和第三类防雷建筑物专设引下线不应少于两根，并应沿建筑物周围均匀布设，其平均间距分别不应大于12m、18m和25m。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明敷的专用引下线应分段固定，并应以最短路径敷设到接地体，敷设应平正顺直、无急弯。引下线安装与易燃材料的墙壁或墙体保温层间距应大于0.1m。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建筑物外的引下线敷设在人员可停留或经过的区域时，应采用防止接触电压和旁侧闪络电压措施对人员造成伤害。</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引下线两端应分别与接闪器和接地装置做可靠的电气连接。引下线上应无附着的其他电气线路，在通信塔或其他高耸金属构架起接闪作用的金属物上敷设电气线路时，线路应采用直埋于土壤中的铠装电缆或穿金属管敷设的导线。电缆的金属护层或金属管应两端接地，埋入土壤中的长度不应小于5m。</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第5.1.1条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kern w:val="2"/>
        </w:rPr>
        <w:t>，</w:t>
      </w:r>
      <w:r>
        <w:rPr>
          <w:rFonts w:hint="eastAsia" w:ascii="Times New Roman" w:hAnsi="Times New Roman" w:cs="Times New Roman"/>
          <w:color w:val="000000"/>
        </w:rPr>
        <w:t>引下线安装工序</w:t>
      </w:r>
      <w:r>
        <w:rPr>
          <w:rFonts w:hint="eastAsia" w:ascii="Times New Roman" w:hAnsi="Times New Roman" w:cs="Times New Roman"/>
          <w:kern w:val="2"/>
        </w:rPr>
        <w:t>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第一类、第二类和第三类防雷建筑物专设引下线不应少于两根，并应沿建筑物周围均匀布设，其平均间距分别不应大于12m、18m和25m。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利用建筑物柱内钢筋作为引下线，在柱内主钢筋绑扎或焊接连接后，应做标志，并应按设计要求施工，应经检查确认记录后再支模。</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明敷的专用引下线应分段固定，并应以最短路径敷设到接地体，敷设应平正顺直、无急弯。引下线安装与易燃材料的墙壁或墙体保温层间距应大于0.1m。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直接从基础接地体或人工接地体引出的专用引下线，应先按设计要求安装固定支架，并应经检查确认后再敷设引下线。</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BD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kern w:val="2"/>
        </w:rPr>
        <w:t>，</w:t>
      </w:r>
      <w:r>
        <w:rPr>
          <w:rFonts w:hint="eastAsia" w:ascii="Times New Roman" w:hAnsi="Times New Roman" w:cs="Times New Roman"/>
          <w:color w:val="000000"/>
        </w:rPr>
        <w:t>接闪器安装工序</w:t>
      </w:r>
      <w:r>
        <w:rPr>
          <w:rFonts w:hint="eastAsia" w:ascii="Times New Roman" w:hAnsi="Times New Roman" w:cs="Times New Roman"/>
          <w:kern w:val="2"/>
        </w:rPr>
        <w:t>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暗敷在建筑物混凝土中的接闪导线，在主筋绑扎或认定主筋进行焊接，并做好标志后，应按设计要求施工，并应经检查确认隐蔽工程验收记录后再支模或浇捣混凝土。</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建筑物顶部和外墙上的接闪器必须与建筑物栏杆、旗杆、吊车梁、管道、设备、太阳能热水器、门窗、幕墙支架等外露的金属物进行电气连接。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明敷在建筑物上的接闪器应在接地装置和引下线施工完成后再安装，并应与引下线电气连接。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专用接闪杆应能承受0.7kN/m2的基本风压，在经常发生台风和大于11级大风的地区，宜增大接闪杆的尺寸。</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AC</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第6.2条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，等电位连接安装主控项目的规定是什么</w:t>
      </w:r>
      <w:r>
        <w:rPr>
          <w:rFonts w:hint="eastAsia" w:ascii="Times New Roman" w:hAnsi="Times New Roman" w:cs="Times New Roman"/>
          <w:kern w:val="2"/>
        </w:rPr>
        <w:t>？</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除应符合GB50601–2010第6.1.1条第1款的规定，尚应按现行国家标准《建筑物防雷设计规范》GB50057中有关对各类防雷建筑物的规定，对进出建筑物的金属管线做等电位连接。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在建筑物入户处应做总等电位连接。建筑物等电位连接干线与接地装置应有不少于2处的直接连接。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建筑物顶部和外墙上的接闪器必须与建筑物栏杆、旗杆、吊车梁、管道、设备、太阳能热水器、门窗、幕墙支架等外露的金属物进行电气连接。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第一类防雷建筑物和具有1区、2区、21区及22区爆炸危险场所的第二类防雷建筑物内、外的金属管道、构架和电缆金属外皮等长金属物的跨接，应符合现行国家标准《建筑物防雷设计规范》GB50057的有关规定。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第7.1.1条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，等电位连接安装工序是什么</w:t>
      </w:r>
      <w:r>
        <w:rPr>
          <w:rFonts w:hint="eastAsia" w:ascii="Times New Roman" w:hAnsi="Times New Roman" w:cs="Times New Roman"/>
          <w:kern w:val="2"/>
        </w:rPr>
        <w:t>？</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在建筑物入户处的总等电位连接，应对入户金属管线和总等电位连接板的位置检查确认后再设置与接地装置连接的总等电位连接板，并应按设计要求做等电位连接。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在建筑物入户处应做总等电位连接。建筑物等电位连接干线与接地装置应有不少于2处的直接连接。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在后续防雷区交界处，应对供连接用的等电位连接板和需要连接的金属物体的位置检查确认记录后再设置与建筑物主筋连接的等电位连接板，并应按设计要求做等电位连接。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在确认网形结构等电位连接网与建筑物内钢筋或钢构件连接点的位置、信息技术设备的位置后，应按设计要求施工。网形结构等电位连接网的周边宜每隔5m与建筑物内的钢筋或钢结构连接一次。电子系统模拟线路工作频率小于300kHz时，可在选择与接地系统最接近的位置设置接地基准点后，再按星形结构等电位连接网设计要求施工。</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ACD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第7.2条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，屏蔽装置安装主控项目的规定是什么？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设有电磁屏蔽室的机房，建筑结构应满足屏蔽结构对荷载的要求。</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电磁屏蔽室与建筑物内墙之间宜预留维修通道。</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当工程设计文件要求为了防止雷击电磁脉冲对室内电子设备产生损害或干扰而需采取屏蔽措施时，屏蔽工程施工应符合工程设计文件和现行国家标准《电子信息系统机房施工及验收规范》GB50462的有关规定。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当工程设计文件有防雷专用屏蔽室时，屏蔽壳体、屏蔽门、各类滤波器、截止通风导窗、屏蔽玻璃窗、屏蔽暗箱的安装，应符合工程设计文件的要求。屏蔽室的等电位连接应符合GB50601–2010第7.1.2.条第3款的规定。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CD</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第8.1.1条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，综合布线分项工程安装主控项目的规定是什么？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低压配电线路（三相或单相）的单芯线缆不应单独穿于金属管内。</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不同回路、不同电压等级的交流和直流电线不应穿于同一金属管中，同一交流回路的电线应穿于同一金属管中，管内电线不得有接头。</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爆炸危险场所使用的电线（电缆）的额定耐受电压值不应低于750V，且必须穿在金属管中。</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建筑物内传输网络的综合布线施工应符合现行国家标准《综合布线系统工程验收规范》GB50312的有关规定。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第9.1.1条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w:t>
      </w:r>
      <w:r>
        <w:rPr>
          <w:rFonts w:hint="eastAsia" w:ascii="Times New Roman" w:hAnsi="Times New Roman"/>
          <w:color w:val="000000"/>
        </w:rPr>
        <w:t>当信息技术电缆与供配电电缆同属一个电缆管理系统和同一路由时，其布线应符合下列哪些规定？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低压配电线路（三相或单相）的单芯线缆不应单独穿于金属管内。</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电缆布线系统的全部外露可导电部分，均应按GB50601–2010第7.1节的要求进行等电位连接。</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由分线箱引出的信息技术电缆与供配电电缆平行敷设的长度大于35m时，从分线箱起的20m内应采取隔离措施，也可保持两线缆之间有大于30mm的间距，或在槽盒中加金属板隔开。</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在条件许可时，宜采用多层走线槽盒，强、弱电线路宜分层布设。</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第9.1.2条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w:t>
      </w:r>
      <w:r>
        <w:rPr>
          <w:rFonts w:hint="eastAsia" w:ascii="Times New Roman" w:hAnsi="Times New Roman"/>
          <w:color w:val="000000"/>
        </w:rPr>
        <w:t>当建筑物上有外部防雷装置，或建筑物上虽未敷设外部防雷装置，但与之邻近的建筑物上有外部防雷装置且两建筑物之间有电气联系时，有外部防雷装置的建筑物和有电气联系的建筑物内总配电柜上安装的SPD应符合下列哪些要求？</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低压配电线路（三相或单相）的单芯线缆不应单独穿于金属管内。</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应当使用Ⅰ级分类试验的SPD。</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低压配电系统的SPD的主要性能参数：冲击电流应不小于12.5kA(10/350μs),电压保护水平不应大于2.5kV,最大持续运行电压应根据低压配电系统的接地型式选取。</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当SPD内部未设计热脱扣装置时，对失效状态为短路型的SPD，应在其前端安装熔丝、热熔线圈或断路器进行后备过电流保护。</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BC</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第10.1.1条</w:t>
      </w:r>
    </w:p>
    <w:p>
      <w:pPr>
        <w:pStyle w:val="2"/>
        <w:numPr>
          <w:ilvl w:val="0"/>
          <w:numId w:val="3"/>
        </w:numPr>
        <w:spacing w:before="0" w:beforeAutospacing="0" w:after="0" w:afterAutospacing="0" w:line="400" w:lineRule="exact"/>
        <w:rPr>
          <w:rFonts w:ascii="Times New Roman" w:hAnsi="Times New Roman" w:cs="Times New Roman"/>
          <w:kern w:val="2"/>
        </w:rPr>
      </w:pPr>
      <w:r>
        <w:rPr>
          <w:rFonts w:hint="eastAsia" w:ascii="Times New Roman" w:hAnsi="Times New Roman" w:cs="Times New Roman"/>
          <w:color w:val="000000"/>
        </w:rPr>
        <w:t>根据GB50601–2010《建筑物防雷工程施工与质量验收规范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w:t>
      </w:r>
      <w:r>
        <w:rPr>
          <w:rFonts w:hint="eastAsia" w:ascii="Times New Roman" w:hAnsi="Times New Roman"/>
          <w:color w:val="000000"/>
        </w:rPr>
        <w:t>当低压配电系统中安装的第一级SPD与被保护设备之间关系无法满足下列哪些条件时，应在靠近被保护设备的分配电盘或设备前端安装第二级SPD？</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 xml:space="preserve"> 第一级SPD的有效电压保护水平低于设备的耐过电压额定值时。</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第一级SPD与被保护设备之间的线路长度小于10m时。</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 xml:space="preserve"> 在建筑物内部不存在雷击放电或内部干扰源产生的电磁场干扰时。</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 xml:space="preserve"> 当SPD内部未设计热脱扣装置时。</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sz w:val="24"/>
          <w:szCs w:val="24"/>
        </w:rPr>
        <w:t>答案</w:t>
      </w:r>
      <w:r>
        <w:rPr>
          <w:rFonts w:ascii="Times New Roman" w:hAnsi="Times New Roman"/>
          <w:color w:val="000000"/>
          <w:sz w:val="24"/>
          <w:szCs w:val="24"/>
        </w:rPr>
        <w:t>：</w:t>
      </w:r>
      <w:r>
        <w:rPr>
          <w:rFonts w:hint="eastAsia" w:ascii="Times New Roman" w:hAnsi="Times New Roman"/>
          <w:color w:val="000000"/>
          <w:sz w:val="24"/>
          <w:szCs w:val="24"/>
        </w:rPr>
        <w:t xml:space="preserve"> ABC</w:t>
      </w:r>
    </w:p>
    <w:p>
      <w:pPr>
        <w:pStyle w:val="5"/>
        <w:spacing w:line="400" w:lineRule="exact"/>
        <w:ind w:left="400" w:firstLine="0" w:firstLineChars="0"/>
        <w:jc w:val="left"/>
        <w:rPr>
          <w:rFonts w:hint="eastAsia" w:ascii="Times New Roman" w:hAnsi="Times New Roman"/>
          <w:color w:val="000000"/>
          <w:sz w:val="24"/>
          <w:szCs w:val="24"/>
        </w:rPr>
      </w:pPr>
      <w:r>
        <w:rPr>
          <w:rFonts w:ascii="Times New Roman" w:hAnsi="Times New Roman" w:eastAsia="黑体"/>
          <w:color w:val="000000"/>
          <w:sz w:val="24"/>
          <w:szCs w:val="24"/>
        </w:rPr>
        <w:t>解析</w:t>
      </w:r>
      <w:r>
        <w:rPr>
          <w:rFonts w:ascii="Times New Roman" w:hAnsi="Times New Roman"/>
          <w:color w:val="000000"/>
          <w:sz w:val="24"/>
          <w:szCs w:val="24"/>
        </w:rPr>
        <w:t>：</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第10.1.2条</w:t>
      </w:r>
    </w:p>
    <w:bookmarkEnd w:id="0"/>
    <w:bookmarkEnd w:id="1"/>
    <w:p>
      <w:pPr>
        <w:numPr>
          <w:numId w:val="0"/>
        </w:numPr>
        <w:rPr>
          <w:rFonts w:hint="default" w:ascii="黑体" w:hAnsi="黑体" w:eastAsia="黑体" w:cs="黑体"/>
          <w:color w:val="000000"/>
          <w:sz w:val="28"/>
          <w:szCs w:val="36"/>
          <w:lang w:val="en-US" w:eastAsia="zh-CN"/>
        </w:rPr>
      </w:pPr>
    </w:p>
    <w:p>
      <w:pPr>
        <w:numPr>
          <w:ilvl w:val="0"/>
          <w:numId w:val="4"/>
        </w:numPr>
        <w:ind w:left="420" w:leftChars="0" w:firstLine="0" w:firstLineChars="0"/>
        <w:rPr>
          <w:rFonts w:hint="eastAsia" w:ascii="黑体" w:hAnsi="黑体" w:eastAsia="黑体" w:cs="黑体"/>
          <w:color w:val="000000"/>
          <w:sz w:val="28"/>
          <w:szCs w:val="36"/>
          <w:lang w:val="en-US" w:eastAsia="zh-CN"/>
        </w:rPr>
      </w:pPr>
      <w:r>
        <w:rPr>
          <w:rFonts w:hint="eastAsia" w:ascii="黑体" w:hAnsi="黑体" w:eastAsia="黑体" w:cs="黑体"/>
          <w:color w:val="000000"/>
          <w:sz w:val="28"/>
          <w:szCs w:val="36"/>
          <w:lang w:val="en-US" w:eastAsia="zh-CN"/>
        </w:rPr>
        <w:t xml:space="preserve">判断题 </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防雷装置是指用于对建筑物进行雷电防护的整套装置，由外部防雷装置和内部防雷装置组成。（</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ascii="Times New Roman"/>
          <w:color w:val="000000"/>
        </w:rPr>
        <w:t>外部防雷装置</w:t>
      </w:r>
      <w:r>
        <w:rPr>
          <w:rFonts w:hint="eastAsia" w:ascii="Times New Roman"/>
          <w:color w:val="000000"/>
        </w:rPr>
        <w:t>是指用于</w:t>
      </w:r>
      <w:r>
        <w:rPr>
          <w:rFonts w:ascii="Times New Roman"/>
          <w:color w:val="000000"/>
        </w:rPr>
        <w:t>防护直击雷的防雷装置</w:t>
      </w:r>
      <w:r>
        <w:rPr>
          <w:rFonts w:hint="eastAsia" w:ascii="Times New Roman"/>
          <w:color w:val="000000"/>
        </w:rPr>
        <w:t>，</w:t>
      </w:r>
      <w:r>
        <w:rPr>
          <w:rFonts w:ascii="Times New Roman"/>
          <w:color w:val="000000"/>
        </w:rPr>
        <w:t>由接闪器、引下线和接地装置组成。</w:t>
      </w:r>
      <w:r>
        <w:rPr>
          <w:rFonts w:hint="eastAsia" w:ascii="Times New Roman"/>
          <w:color w:val="000000"/>
        </w:rPr>
        <w:t>（</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2</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ascii="Times New Roman"/>
          <w:color w:val="000000"/>
        </w:rPr>
        <w:t>内部防雷装置</w:t>
      </w:r>
      <w:r>
        <w:rPr>
          <w:rFonts w:hint="eastAsia" w:ascii="Times New Roman"/>
          <w:color w:val="000000"/>
        </w:rPr>
        <w:t>是指</w:t>
      </w:r>
      <w:r>
        <w:rPr>
          <w:rFonts w:ascii="Times New Roman"/>
          <w:color w:val="000000"/>
        </w:rPr>
        <w:t>用</w:t>
      </w:r>
      <w:r>
        <w:rPr>
          <w:rFonts w:hint="eastAsia" w:ascii="Times New Roman"/>
          <w:color w:val="000000"/>
        </w:rPr>
        <w:t>于</w:t>
      </w:r>
      <w:r>
        <w:rPr>
          <w:rFonts w:ascii="Times New Roman"/>
          <w:color w:val="000000"/>
        </w:rPr>
        <w:t>减小雷电流在</w:t>
      </w:r>
      <w:r>
        <w:rPr>
          <w:rFonts w:hint="eastAsia" w:ascii="Times New Roman"/>
          <w:color w:val="000000"/>
        </w:rPr>
        <w:t>所</w:t>
      </w:r>
      <w:r>
        <w:rPr>
          <w:rFonts w:ascii="Times New Roman"/>
          <w:color w:val="000000"/>
        </w:rPr>
        <w:t>需防护空间内产生的电磁</w:t>
      </w:r>
      <w:r>
        <w:rPr>
          <w:rFonts w:hint="eastAsia" w:ascii="Times New Roman"/>
          <w:color w:val="000000"/>
        </w:rPr>
        <w:t>效应的防雷装置，由屏蔽导体、等电位连接件、接地装置和电涌保护器等组成。（</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3</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ascii="Times New Roman"/>
          <w:color w:val="000000"/>
        </w:rPr>
        <w:t>接地体</w:t>
      </w:r>
      <w:r>
        <w:rPr>
          <w:rFonts w:hint="eastAsia" w:ascii="Times New Roman"/>
          <w:color w:val="000000"/>
        </w:rPr>
        <w:t>是指</w:t>
      </w:r>
      <w:r>
        <w:rPr>
          <w:rFonts w:ascii="Times New Roman"/>
          <w:color w:val="000000"/>
        </w:rPr>
        <w:t>埋入土壤或混凝土基础中作</w:t>
      </w:r>
      <w:r>
        <w:rPr>
          <w:rFonts w:hint="eastAsia" w:ascii="Times New Roman"/>
          <w:color w:val="000000"/>
        </w:rPr>
        <w:t>接地</w:t>
      </w:r>
      <w:r>
        <w:rPr>
          <w:rFonts w:ascii="Times New Roman"/>
          <w:color w:val="000000"/>
        </w:rPr>
        <w:t>用的导体</w:t>
      </w:r>
      <w:r>
        <w:rPr>
          <w:rFonts w:hint="eastAsia" w:ascii="Times New Roman"/>
          <w:color w:val="000000"/>
        </w:rPr>
        <w:t>。（</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4</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ascii="Times New Roman"/>
          <w:color w:val="000000"/>
        </w:rPr>
        <w:t>接地线</w:t>
      </w:r>
      <w:r>
        <w:rPr>
          <w:rFonts w:hint="eastAsia" w:ascii="Times New Roman"/>
          <w:color w:val="000000"/>
        </w:rPr>
        <w:t>是指</w:t>
      </w:r>
      <w:r>
        <w:rPr>
          <w:rFonts w:ascii="Times New Roman"/>
          <w:color w:val="000000"/>
        </w:rPr>
        <w:t>从引下线断接卡或</w:t>
      </w:r>
      <w:r>
        <w:rPr>
          <w:rFonts w:hint="eastAsia" w:ascii="Times New Roman"/>
          <w:color w:val="000000"/>
        </w:rPr>
        <w:t>测试点</w:t>
      </w:r>
      <w:r>
        <w:rPr>
          <w:rFonts w:ascii="Times New Roman"/>
          <w:color w:val="000000"/>
        </w:rPr>
        <w:t>至接地体的连接导体</w:t>
      </w:r>
      <w:r>
        <w:rPr>
          <w:rFonts w:hint="eastAsia" w:ascii="Times New Roman"/>
          <w:color w:val="000000"/>
        </w:rPr>
        <w:t>，</w:t>
      </w:r>
      <w:r>
        <w:rPr>
          <w:rFonts w:ascii="Times New Roman"/>
          <w:color w:val="000000"/>
        </w:rPr>
        <w:t>或从接地端子、等电位连接带至</w:t>
      </w:r>
      <w:r>
        <w:rPr>
          <w:rFonts w:hint="eastAsia" w:ascii="Times New Roman"/>
          <w:color w:val="000000"/>
        </w:rPr>
        <w:t>引下线</w:t>
      </w:r>
      <w:r>
        <w:rPr>
          <w:rFonts w:ascii="Times New Roman"/>
          <w:color w:val="000000"/>
        </w:rPr>
        <w:t>的连接导体。</w:t>
      </w:r>
      <w:r>
        <w:rPr>
          <w:rFonts w:hint="eastAsia" w:ascii="Times New Roman"/>
          <w:color w:val="000000"/>
        </w:rPr>
        <w:t>（</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5</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ascii="Times New Roman"/>
          <w:color w:val="000000"/>
        </w:rPr>
        <w:t>共用接地系统</w:t>
      </w:r>
      <w:r>
        <w:rPr>
          <w:rFonts w:hint="eastAsia" w:ascii="Times New Roman"/>
          <w:color w:val="000000"/>
        </w:rPr>
        <w:t>是指</w:t>
      </w:r>
      <w:r>
        <w:rPr>
          <w:rFonts w:ascii="Times New Roman"/>
          <w:color w:val="000000"/>
        </w:rPr>
        <w:t>将防雷装置、建筑物</w:t>
      </w:r>
      <w:r>
        <w:rPr>
          <w:rFonts w:hint="eastAsia" w:ascii="Times New Roman"/>
          <w:color w:val="000000"/>
        </w:rPr>
        <w:t>基础</w:t>
      </w:r>
      <w:r>
        <w:rPr>
          <w:rFonts w:ascii="Times New Roman"/>
          <w:color w:val="000000"/>
        </w:rPr>
        <w:t>金属构件、低压配电保护线、设备保护</w:t>
      </w:r>
      <w:r>
        <w:rPr>
          <w:rFonts w:hint="eastAsia" w:ascii="Times New Roman"/>
          <w:color w:val="000000"/>
        </w:rPr>
        <w:t>接</w:t>
      </w:r>
      <w:r>
        <w:rPr>
          <w:rFonts w:ascii="Times New Roman"/>
          <w:color w:val="000000"/>
        </w:rPr>
        <w:t>地，屏蔽体接地、防静电接地和信息技术设备逻辑地等</w:t>
      </w:r>
      <w:r>
        <w:rPr>
          <w:rFonts w:hint="eastAsia" w:ascii="Times New Roman"/>
          <w:color w:val="000000"/>
        </w:rPr>
        <w:t>分别</w:t>
      </w:r>
      <w:r>
        <w:rPr>
          <w:rFonts w:ascii="Times New Roman"/>
          <w:color w:val="000000"/>
        </w:rPr>
        <w:t>连接的接地</w:t>
      </w:r>
      <w:r>
        <w:rPr>
          <w:rFonts w:hint="eastAsia" w:ascii="Times New Roman"/>
          <w:color w:val="000000"/>
        </w:rPr>
        <w:t>系统</w:t>
      </w:r>
      <w:r>
        <w:rPr>
          <w:rFonts w:ascii="Times New Roman"/>
          <w:color w:val="000000"/>
        </w:rPr>
        <w:t>。</w:t>
      </w:r>
      <w:r>
        <w:rPr>
          <w:rFonts w:hint="eastAsia" w:ascii="Times New Roman"/>
          <w:color w:val="000000"/>
        </w:rPr>
        <w:t>（</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6</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ascii="Times New Roman"/>
          <w:color w:val="000000"/>
        </w:rPr>
        <w:t>电涌保护器</w:t>
      </w:r>
      <w:r>
        <w:rPr>
          <w:rFonts w:hint="eastAsia" w:ascii="Times New Roman"/>
          <w:color w:val="000000"/>
        </w:rPr>
        <w:t>是指用于</w:t>
      </w:r>
      <w:r>
        <w:rPr>
          <w:rFonts w:ascii="Times New Roman"/>
          <w:color w:val="000000"/>
        </w:rPr>
        <w:t>限制瞬态过电压和分</w:t>
      </w:r>
      <w:r>
        <w:rPr>
          <w:rFonts w:hint="eastAsia" w:ascii="Times New Roman"/>
          <w:color w:val="000000"/>
        </w:rPr>
        <w:t>泄</w:t>
      </w:r>
      <w:r>
        <w:rPr>
          <w:rFonts w:ascii="Times New Roman"/>
          <w:color w:val="000000"/>
        </w:rPr>
        <w:t>电涌电流的器件。至少含有</w:t>
      </w:r>
      <w:r>
        <w:rPr>
          <w:rFonts w:hint="eastAsia" w:ascii="Times New Roman"/>
          <w:color w:val="000000"/>
        </w:rPr>
        <w:t>二</w:t>
      </w:r>
      <w:r>
        <w:rPr>
          <w:rFonts w:ascii="Times New Roman"/>
          <w:color w:val="000000"/>
        </w:rPr>
        <w:t>个非线性元件。</w:t>
      </w:r>
      <w:r>
        <w:rPr>
          <w:rFonts w:hint="eastAsia" w:ascii="Times New Roman"/>
          <w:color w:val="000000"/>
        </w:rPr>
        <w:t>（</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7</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后备</w:t>
      </w:r>
      <w:r>
        <w:rPr>
          <w:rFonts w:ascii="Times New Roman"/>
          <w:color w:val="000000"/>
        </w:rPr>
        <w:t>过电流保护</w:t>
      </w:r>
      <w:r>
        <w:rPr>
          <w:rFonts w:hint="eastAsia" w:ascii="Times New Roman"/>
          <w:color w:val="000000"/>
        </w:rPr>
        <w:t>装置是指</w:t>
      </w:r>
      <w:r>
        <w:rPr>
          <w:rFonts w:ascii="Times New Roman"/>
          <w:color w:val="000000"/>
        </w:rPr>
        <w:t>位于</w:t>
      </w:r>
      <w:r>
        <w:rPr>
          <w:rFonts w:hint="eastAsia" w:ascii="Times New Roman"/>
          <w:color w:val="000000"/>
        </w:rPr>
        <w:t>电涌保护器</w:t>
      </w:r>
      <w:r>
        <w:rPr>
          <w:rFonts w:ascii="Times New Roman"/>
          <w:color w:val="000000"/>
        </w:rPr>
        <w:t>外部的</w:t>
      </w:r>
      <w:r>
        <w:rPr>
          <w:rFonts w:hint="eastAsia" w:ascii="Times New Roman"/>
          <w:color w:val="000000"/>
        </w:rPr>
        <w:t>后</w:t>
      </w:r>
      <w:r>
        <w:rPr>
          <w:rFonts w:ascii="Times New Roman"/>
          <w:color w:val="000000"/>
        </w:rPr>
        <w:t>端，作为电气装置的一部分的过电流</w:t>
      </w:r>
      <w:r>
        <w:rPr>
          <w:rFonts w:hint="eastAsia" w:ascii="Times New Roman"/>
          <w:color w:val="000000"/>
        </w:rPr>
        <w:t>保护</w:t>
      </w:r>
      <w:r>
        <w:rPr>
          <w:rFonts w:ascii="Times New Roman"/>
          <w:color w:val="000000"/>
        </w:rPr>
        <w:t>装置</w:t>
      </w:r>
      <w:r>
        <w:rPr>
          <w:rFonts w:hint="eastAsia" w:ascii="Times New Roman"/>
          <w:color w:val="000000"/>
        </w:rPr>
        <w:t>。（</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240" w:firstLineChars="10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8</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ascii="Times New Roman"/>
          <w:color w:val="000000"/>
        </w:rPr>
        <w:t>内部系统</w:t>
      </w:r>
      <w:r>
        <w:rPr>
          <w:rFonts w:hint="eastAsia" w:ascii="Times New Roman"/>
          <w:color w:val="000000"/>
        </w:rPr>
        <w:t>是指</w:t>
      </w:r>
      <w:r>
        <w:rPr>
          <w:rFonts w:ascii="Times New Roman"/>
          <w:color w:val="000000"/>
        </w:rPr>
        <w:t>建筑物内的电气和电子系统</w:t>
      </w:r>
      <w:r>
        <w:rPr>
          <w:rFonts w:hint="eastAsia" w:ascii="Times New Roman"/>
          <w:color w:val="000000"/>
        </w:rPr>
        <w:t>。（</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9</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电气系统是指由高低压供电组合部件构成的系统。（</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10</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电子系统是指由通信设备、计算机、控制和仪表系统、无线电系统和电力电子装置构成的系统。（</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11</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检验批是指按同一的生产条件或规定的方式汇总起来供检验用的，由全部的数量样本组成的检验体。（</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12</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主控项目是指建筑工程中对卫生、环境保护和公众利益起决定性作用的检验项目。（</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13</w:t>
      </w:r>
      <w:r>
        <w:rPr>
          <w:rFonts w:hint="eastAsia" w:ascii="Times New Roman" w:hAnsi="Times New Roman" w:cs="Times New Roman"/>
          <w:color w:val="000000"/>
        </w:rPr>
        <w:t>条</w:t>
      </w:r>
    </w:p>
    <w:p>
      <w:pPr>
        <w:pStyle w:val="2"/>
        <w:numPr>
          <w:ilvl w:val="1"/>
          <w:numId w:val="5"/>
        </w:numPr>
        <w:spacing w:before="0" w:beforeAutospacing="0" w:after="0" w:afterAutospacing="0" w:line="400" w:lineRule="exact"/>
        <w:ind w:left="480" w:hanging="480" w:hangingChars="200"/>
        <w:jc w:val="both"/>
        <w:rPr>
          <w:rFonts w:ascii="Times New Roman"/>
          <w:color w:val="000000"/>
        </w:rPr>
      </w:pPr>
      <w:r>
        <w:rPr>
          <w:rFonts w:hint="eastAsia" w:ascii="Times New Roman"/>
          <w:color w:val="000000"/>
        </w:rPr>
        <w:t>一般项目是指除主控项目以外的检验项目。（</w:t>
      </w:r>
      <w:r>
        <w:rPr>
          <w:rFonts w:ascii="Times New Roman"/>
          <w:color w:val="000000"/>
        </w:rPr>
        <w:t>√</w:t>
      </w:r>
      <w:r>
        <w:rPr>
          <w:rFonts w:hint="eastAsia" w:ascii="Times New Roman"/>
          <w:color w:val="000000"/>
        </w:rPr>
        <w:t>）</w:t>
      </w:r>
    </w:p>
    <w:p>
      <w:pPr>
        <w:pStyle w:val="2"/>
        <w:spacing w:before="0" w:beforeAutospacing="0" w:after="0" w:afterAutospacing="0" w:line="400" w:lineRule="exact"/>
        <w:ind w:firstLine="420"/>
        <w:rPr>
          <w:rFonts w:ascii="Times New Roman" w:hAnsi="Times New Roman" w:cs="Times New Roman"/>
          <w:color w:val="000000"/>
        </w:rPr>
      </w:pPr>
      <w:r>
        <w:rPr>
          <w:rFonts w:ascii="Times New Roman" w:hAnsi="Times New Roman" w:cs="Times New Roman"/>
          <w:color w:val="000000"/>
        </w:rPr>
        <w:t xml:space="preserve">解析：GB </w:t>
      </w:r>
      <w:r>
        <w:rPr>
          <w:rFonts w:hint="eastAsia" w:ascii="Times New Roman" w:hAnsi="Times New Roman" w:cs="Times New Roman"/>
          <w:color w:val="000000"/>
        </w:rPr>
        <w:t>50</w:t>
      </w:r>
      <w:r>
        <w:rPr>
          <w:rFonts w:ascii="Times New Roman" w:hAnsi="Times New Roman" w:cs="Times New Roman"/>
          <w:color w:val="000000"/>
        </w:rPr>
        <w:t>601</w:t>
      </w:r>
      <w:r>
        <w:rPr>
          <w:rFonts w:hint="eastAsia" w:ascii="Times New Roman" w:hAnsi="Times New Roman" w:cs="Times New Roman"/>
          <w:color w:val="000000"/>
        </w:rPr>
        <w:t>-201</w:t>
      </w:r>
      <w:r>
        <w:rPr>
          <w:rFonts w:ascii="Times New Roman" w:hAnsi="Times New Roman" w:cs="Times New Roman"/>
          <w:color w:val="000000"/>
        </w:rPr>
        <w:t>0</w:t>
      </w:r>
      <w:r>
        <w:rPr>
          <w:rFonts w:hint="eastAsia" w:ascii="Times New Roman" w:hAnsi="Times New Roman" w:cs="Times New Roman"/>
          <w:color w:val="000000"/>
        </w:rPr>
        <w:t>《建筑物防雷工程施工与质量验收规范</w:t>
      </w:r>
      <w:r>
        <w:rPr>
          <w:rFonts w:ascii="Times New Roman" w:hAnsi="Times New Roman" w:cs="Times New Roman"/>
          <w:color w:val="000000"/>
        </w:rPr>
        <w:t>》</w:t>
      </w:r>
      <w:r>
        <w:rPr>
          <w:rFonts w:hint="eastAsia" w:ascii="Times New Roman" w:hAnsi="Times New Roman" w:cs="Times New Roman"/>
          <w:color w:val="000000"/>
        </w:rPr>
        <w:t>第2.0.</w:t>
      </w:r>
      <w:r>
        <w:rPr>
          <w:rFonts w:ascii="Times New Roman" w:hAnsi="Times New Roman" w:cs="Times New Roman"/>
          <w:color w:val="000000"/>
        </w:rPr>
        <w:t>14</w:t>
      </w:r>
      <w:r>
        <w:rPr>
          <w:rFonts w:hint="eastAsia" w:ascii="Times New Roman" w:hAnsi="Times New Roman" w:cs="Times New Roman"/>
          <w:color w:val="000000"/>
        </w:rPr>
        <w:t>条</w:t>
      </w:r>
    </w:p>
    <w:p>
      <w:pPr>
        <w:numPr>
          <w:numId w:val="0"/>
        </w:numPr>
        <w:ind w:left="420" w:leftChars="0"/>
        <w:rPr>
          <w:rFonts w:hint="default" w:ascii="黑体" w:hAnsi="黑体" w:eastAsia="黑体" w:cs="黑体"/>
          <w:color w:val="000000"/>
          <w:sz w:val="28"/>
          <w:szCs w:val="36"/>
          <w:lang w:val="en-US" w:eastAsia="zh-CN"/>
        </w:rPr>
      </w:pPr>
    </w:p>
    <w:p>
      <w:pPr>
        <w:numPr>
          <w:ilvl w:val="0"/>
          <w:numId w:val="4"/>
        </w:numPr>
        <w:ind w:left="420" w:leftChars="0" w:firstLine="0" w:firstLineChars="0"/>
        <w:rPr>
          <w:rFonts w:hint="eastAsia" w:ascii="黑体" w:hAnsi="黑体" w:eastAsia="黑体" w:cs="黑体"/>
          <w:color w:val="000000"/>
          <w:sz w:val="28"/>
          <w:szCs w:val="36"/>
          <w:lang w:val="en-US" w:eastAsia="zh-CN"/>
        </w:rPr>
      </w:pPr>
      <w:r>
        <w:rPr>
          <w:rFonts w:hint="eastAsia" w:ascii="黑体" w:hAnsi="黑体" w:eastAsia="黑体" w:cs="黑体"/>
          <w:color w:val="000000"/>
          <w:sz w:val="28"/>
          <w:szCs w:val="36"/>
          <w:lang w:val="en-US" w:eastAsia="zh-CN"/>
        </w:rPr>
        <w:t>简答题</w:t>
      </w: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简述施工现场质量管理标准。</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防雷工程施工现场的质量管理，应有相应的施工技术标准、健全的质量管理体系、施工质量检验制度和综合施工质量水平判断评定考核制度。总监理工程师或建设单位项目负责人应逐项检查并填写记录。</w:t>
      </w:r>
    </w:p>
    <w:p>
      <w:pPr>
        <w:spacing w:line="400" w:lineRule="exact"/>
        <w:ind w:firstLine="240" w:firstLineChars="100"/>
        <w:jc w:val="left"/>
        <w:rPr>
          <w:rFonts w:ascii="Times New Roman" w:hAnsi="Times New Roman"/>
          <w:color w:val="000000"/>
          <w:sz w:val="24"/>
          <w:szCs w:val="24"/>
        </w:rPr>
      </w:pPr>
      <w:r>
        <w:rPr>
          <w:rFonts w:ascii="Times New Roman" w:hAnsi="Times New Roman" w:eastAsia="黑体" w:cs="Times New Roman"/>
          <w:color w:val="000000"/>
          <w:kern w:val="0"/>
          <w:sz w:val="24"/>
          <w:szCs w:val="24"/>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第3.1.1条</w:t>
      </w:r>
    </w:p>
    <w:p>
      <w:pPr>
        <w:pStyle w:val="5"/>
        <w:spacing w:line="400" w:lineRule="exact"/>
        <w:ind w:firstLine="0" w:firstLineChars="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简述施工质量控制要求。</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防雷工程采用的主要设备、材料、成品、半成品进场检验结论应有记录，并应在确认符合GB50601–2010的规定后再在施工中应用。对依法定程序批准进入市场的新设备、器具和材料进场验收，供应商尚应提供安装、使用、维修和试验要求等技术文件。对进口设备、器具和材料进场验收，供应商尚应提供商检（或国内检测机构）证明和中文的质量合格证明文件，规格、型号、性能检验报告，以及中文的安装、使用、维修和试验要求等技术文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2）当对防雷工程采用的主要设备、材料、成品、半成品存在异议时，应由法定检测机构的试验室进行抽样检测，并应出具检测报告。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3）主要防雷装置的材料、规格和试验要求宜符合规定。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第3.2.1条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简述接地装置主控项目的安装规定。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1）利用建筑物桩基、梁、柱内钢筋做接地装置的自然接地体和为接地需要而专门埋设的人工接地体，应在地面以上按设计要求的位置设置可供测量、接人工接地体和做等电位连接用的连接板。</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2）接地装置的接地电阻值应符合设计文件的要求。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3）在建筑物外人员可经过或停留的引下线与接地体连接处3m范围内，应采用防止跨步电压对人员造成伤害的下列一种或多种方法如下：</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a）铺设使地面电阻率不小于50kΩ·m的5cm厚的沥青层或15cm厚的砾石层。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b）设立阻止人员进入的护栏或警示牌。</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c）将接地体敷设成水平网格。</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当工程设计文件对第一类防雷建筑物接地装置设计为独立接地时，独立接地体与建筑物基础地网及与其有联系的管道、电缆等金属物之间的间隔距离，应符合现行国家标准《建筑物防雷设计规范》GB50057中第4.2.1条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第4.1.1条</w:t>
      </w:r>
    </w:p>
    <w:p>
      <w:pPr>
        <w:pStyle w:val="5"/>
        <w:spacing w:line="400" w:lineRule="exact"/>
        <w:ind w:firstLine="48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简述接地装置一般项目中降低接地电阻的方法。</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1）将垂直接地体深埋到低电阻率的土壤中或扩大接地体与土壤的接触面积。</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2）置换成低电阻率的土壤。</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3）采用降阻剂或新型接地材料。</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4）在永冻土地区和采用深孔（井）技术的降阻方法，应符合现行国家标准《电气装置安装工程  接地装置施工及验收规范 》GB50169-2006中第3.2.10条～第3.2.12条的规定。 </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5）采用多根导体外引，外引长度不应大于现行国家标准《建筑物防雷设计规范》GB50057中第5.4.6条的规定。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第4.1.2条</w:t>
      </w:r>
    </w:p>
    <w:p>
      <w:pPr>
        <w:pStyle w:val="5"/>
        <w:spacing w:line="400" w:lineRule="exact"/>
        <w:ind w:firstLine="48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简述防雷装置钢材焊接时的搭线长度及焊接方法。</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3"/>
        <w:tblW w:w="46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7"/>
        <w:gridCol w:w="2842"/>
        <w:gridCol w:w="2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pct"/>
            <w:vAlign w:val="center"/>
          </w:tcPr>
          <w:p>
            <w:pPr>
              <w:ind w:firstLine="981" w:firstLineChars="450"/>
              <w:rPr>
                <w:rFonts w:ascii="宋体" w:hAnsi="宋体" w:eastAsia="宋体" w:cs="Times New Roman"/>
                <w:color w:val="000000"/>
                <w:spacing w:val="4"/>
                <w:sz w:val="21"/>
                <w:szCs w:val="21"/>
              </w:rPr>
            </w:pPr>
            <w:r>
              <w:rPr>
                <w:rFonts w:hint="eastAsia" w:ascii="宋体" w:hAnsi="宋体" w:eastAsia="宋体" w:cs="Times New Roman"/>
                <w:color w:val="000000"/>
                <w:spacing w:val="4"/>
                <w:sz w:val="21"/>
                <w:szCs w:val="21"/>
              </w:rPr>
              <w:t>焊接材料</w:t>
            </w:r>
          </w:p>
        </w:tc>
        <w:tc>
          <w:tcPr>
            <w:tcW w:w="1810" w:type="pct"/>
            <w:vAlign w:val="center"/>
          </w:tcPr>
          <w:p>
            <w:pPr>
              <w:jc w:val="center"/>
              <w:rPr>
                <w:rFonts w:ascii="宋体" w:hAnsi="宋体" w:eastAsia="宋体" w:cs="Times New Roman"/>
                <w:b/>
                <w:color w:val="000000"/>
                <w:spacing w:val="4"/>
                <w:sz w:val="21"/>
                <w:szCs w:val="21"/>
              </w:rPr>
            </w:pPr>
            <w:r>
              <w:rPr>
                <w:rFonts w:hint="eastAsia" w:ascii="宋体" w:hAnsi="宋体" w:eastAsia="宋体" w:cs="Times New Roman"/>
                <w:color w:val="000000"/>
                <w:spacing w:val="4"/>
                <w:sz w:val="21"/>
                <w:szCs w:val="21"/>
              </w:rPr>
              <w:t>搭接长度</w:t>
            </w:r>
          </w:p>
        </w:tc>
        <w:tc>
          <w:tcPr>
            <w:tcW w:w="1631" w:type="pct"/>
            <w:vAlign w:val="center"/>
          </w:tcPr>
          <w:p>
            <w:pPr>
              <w:jc w:val="center"/>
              <w:rPr>
                <w:rFonts w:ascii="宋体" w:hAnsi="宋体" w:eastAsia="宋体" w:cs="Times New Roman"/>
                <w:b/>
                <w:color w:val="000000"/>
                <w:spacing w:val="4"/>
                <w:sz w:val="21"/>
                <w:szCs w:val="21"/>
              </w:rPr>
            </w:pPr>
            <w:r>
              <w:rPr>
                <w:rFonts w:hint="eastAsia" w:ascii="宋体" w:hAnsi="宋体" w:eastAsia="宋体" w:cs="Times New Roman"/>
                <w:color w:val="000000"/>
                <w:spacing w:val="4"/>
                <w:sz w:val="21"/>
                <w:szCs w:val="21"/>
              </w:rPr>
              <w:t>焊接方法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pct"/>
            <w:vAlign w:val="center"/>
          </w:tcPr>
          <w:p>
            <w:pPr>
              <w:jc w:val="center"/>
              <w:rPr>
                <w:rFonts w:ascii="宋体" w:hAnsi="宋体" w:eastAsia="宋体" w:cs="Times New Roman"/>
                <w:color w:val="000000"/>
                <w:spacing w:val="4"/>
                <w:sz w:val="21"/>
                <w:szCs w:val="21"/>
              </w:rPr>
            </w:pPr>
            <w:r>
              <w:rPr>
                <w:rFonts w:hint="eastAsia" w:ascii="宋体" w:hAnsi="宋体" w:eastAsia="宋体" w:cs="Times New Roman"/>
                <w:color w:val="000000"/>
                <w:spacing w:val="4"/>
                <w:sz w:val="21"/>
                <w:szCs w:val="21"/>
              </w:rPr>
              <w:t>扁钢与扁钢</w:t>
            </w:r>
          </w:p>
        </w:tc>
        <w:tc>
          <w:tcPr>
            <w:tcW w:w="1810" w:type="pct"/>
            <w:vAlign w:val="center"/>
          </w:tcPr>
          <w:p>
            <w:pPr>
              <w:jc w:val="center"/>
              <w:rPr>
                <w:rFonts w:ascii="黑体" w:hAnsi="Times New Roman" w:eastAsia="黑体" w:cs="Times New Roman"/>
                <w:b/>
                <w:color w:val="000000"/>
                <w:spacing w:val="4"/>
                <w:sz w:val="21"/>
                <w:szCs w:val="21"/>
              </w:rPr>
            </w:pPr>
            <w:r>
              <w:rPr>
                <w:rFonts w:hint="eastAsia" w:ascii="宋体" w:hAnsi="宋体" w:eastAsia="宋体" w:cs="Times New Roman"/>
                <w:color w:val="000000"/>
                <w:spacing w:val="4"/>
                <w:sz w:val="21"/>
                <w:szCs w:val="21"/>
              </w:rPr>
              <w:t>不应少于扁钢宽度的2倍</w:t>
            </w:r>
          </w:p>
        </w:tc>
        <w:tc>
          <w:tcPr>
            <w:tcW w:w="1631" w:type="pct"/>
            <w:vAlign w:val="center"/>
          </w:tcPr>
          <w:p>
            <w:pPr>
              <w:jc w:val="left"/>
              <w:rPr>
                <w:rFonts w:ascii="黑体" w:hAnsi="Times New Roman" w:eastAsia="黑体" w:cs="Times New Roman"/>
                <w:b/>
                <w:color w:val="000000"/>
                <w:spacing w:val="4"/>
                <w:sz w:val="21"/>
                <w:szCs w:val="21"/>
              </w:rPr>
            </w:pPr>
            <w:r>
              <w:rPr>
                <w:rFonts w:hint="eastAsia" w:ascii="Times New Roman" w:hAnsi="Times New Roman" w:eastAsia="宋体" w:cs="Times New Roman"/>
                <w:color w:val="000000"/>
                <w:spacing w:val="4"/>
                <w:sz w:val="21"/>
                <w:szCs w:val="21"/>
              </w:rPr>
              <w:t>两个大面不应少于3个棱边焊接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pct"/>
            <w:vAlign w:val="center"/>
          </w:tcPr>
          <w:p>
            <w:pPr>
              <w:jc w:val="center"/>
              <w:rPr>
                <w:rFonts w:ascii="黑体" w:hAnsi="Times New Roman" w:eastAsia="黑体" w:cs="Times New Roman"/>
                <w:b/>
                <w:color w:val="000000"/>
                <w:spacing w:val="4"/>
                <w:sz w:val="21"/>
                <w:szCs w:val="21"/>
              </w:rPr>
            </w:pPr>
            <w:r>
              <w:rPr>
                <w:rFonts w:hint="eastAsia" w:ascii="宋体" w:hAnsi="宋体" w:eastAsia="宋体" w:cs="Times New Roman"/>
                <w:color w:val="000000"/>
                <w:spacing w:val="4"/>
                <w:sz w:val="21"/>
                <w:szCs w:val="21"/>
              </w:rPr>
              <w:t>圆钢与圆钢</w:t>
            </w:r>
          </w:p>
        </w:tc>
        <w:tc>
          <w:tcPr>
            <w:tcW w:w="1810" w:type="pct"/>
            <w:vAlign w:val="center"/>
          </w:tcPr>
          <w:p>
            <w:pPr>
              <w:jc w:val="center"/>
              <w:rPr>
                <w:rFonts w:ascii="黑体" w:hAnsi="Times New Roman" w:eastAsia="黑体" w:cs="Times New Roman"/>
                <w:b/>
                <w:color w:val="000000"/>
                <w:spacing w:val="4"/>
                <w:sz w:val="21"/>
                <w:szCs w:val="21"/>
              </w:rPr>
            </w:pPr>
            <w:r>
              <w:rPr>
                <w:rFonts w:hint="eastAsia" w:ascii="宋体" w:hAnsi="宋体" w:eastAsia="宋体" w:cs="Times New Roman"/>
                <w:color w:val="000000"/>
                <w:spacing w:val="4"/>
                <w:sz w:val="21"/>
                <w:szCs w:val="21"/>
              </w:rPr>
              <w:t>不应少于圆钢直径的6倍</w:t>
            </w:r>
          </w:p>
        </w:tc>
        <w:tc>
          <w:tcPr>
            <w:tcW w:w="1631" w:type="pct"/>
            <w:vAlign w:val="center"/>
          </w:tcPr>
          <w:p>
            <w:pPr>
              <w:jc w:val="center"/>
              <w:rPr>
                <w:rFonts w:ascii="宋体" w:hAnsi="宋体" w:eastAsia="宋体" w:cs="Times New Roman"/>
                <w:color w:val="000000"/>
                <w:spacing w:val="4"/>
                <w:sz w:val="21"/>
                <w:szCs w:val="21"/>
              </w:rPr>
            </w:pPr>
            <w:r>
              <w:rPr>
                <w:rFonts w:hint="eastAsia" w:ascii="宋体" w:hAnsi="宋体" w:eastAsia="宋体" w:cs="Times New Roman"/>
                <w:color w:val="000000"/>
                <w:spacing w:val="4"/>
                <w:sz w:val="21"/>
                <w:szCs w:val="21"/>
              </w:rPr>
              <w:t>双面施焊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pct"/>
            <w:vAlign w:val="center"/>
          </w:tcPr>
          <w:p>
            <w:pPr>
              <w:jc w:val="center"/>
              <w:rPr>
                <w:rFonts w:ascii="黑体" w:hAnsi="Times New Roman" w:eastAsia="黑体" w:cs="Times New Roman"/>
                <w:b/>
                <w:color w:val="000000"/>
                <w:spacing w:val="4"/>
                <w:sz w:val="21"/>
                <w:szCs w:val="21"/>
              </w:rPr>
            </w:pPr>
            <w:r>
              <w:rPr>
                <w:rFonts w:hint="eastAsia" w:ascii="宋体" w:hAnsi="宋体" w:eastAsia="宋体" w:cs="Times New Roman"/>
                <w:color w:val="000000"/>
                <w:spacing w:val="4"/>
                <w:sz w:val="21"/>
                <w:szCs w:val="21"/>
              </w:rPr>
              <w:t>圆钢与扁钢</w:t>
            </w:r>
          </w:p>
        </w:tc>
        <w:tc>
          <w:tcPr>
            <w:tcW w:w="1810" w:type="pct"/>
            <w:vAlign w:val="center"/>
          </w:tcPr>
          <w:p>
            <w:pPr>
              <w:jc w:val="center"/>
              <w:rPr>
                <w:rFonts w:ascii="黑体" w:hAnsi="Times New Roman" w:eastAsia="黑体" w:cs="Times New Roman"/>
                <w:b/>
                <w:color w:val="000000"/>
                <w:spacing w:val="4"/>
                <w:sz w:val="21"/>
                <w:szCs w:val="21"/>
              </w:rPr>
            </w:pPr>
            <w:r>
              <w:rPr>
                <w:rFonts w:hint="eastAsia" w:ascii="宋体" w:hAnsi="宋体" w:eastAsia="宋体" w:cs="Times New Roman"/>
                <w:color w:val="000000"/>
                <w:spacing w:val="4"/>
                <w:sz w:val="21"/>
                <w:szCs w:val="21"/>
              </w:rPr>
              <w:t>不应少于圆钢直径的6倍</w:t>
            </w:r>
          </w:p>
        </w:tc>
        <w:tc>
          <w:tcPr>
            <w:tcW w:w="1631" w:type="pct"/>
            <w:vAlign w:val="center"/>
          </w:tcPr>
          <w:p>
            <w:pPr>
              <w:jc w:val="center"/>
              <w:rPr>
                <w:rFonts w:ascii="黑体" w:hAnsi="Times New Roman" w:eastAsia="黑体" w:cs="Times New Roman"/>
                <w:b/>
                <w:color w:val="000000"/>
                <w:spacing w:val="4"/>
                <w:sz w:val="21"/>
                <w:szCs w:val="21"/>
              </w:rPr>
            </w:pPr>
            <w:r>
              <w:rPr>
                <w:rFonts w:hint="eastAsia" w:ascii="宋体" w:hAnsi="宋体" w:eastAsia="宋体" w:cs="Times New Roman"/>
                <w:color w:val="000000"/>
                <w:spacing w:val="4"/>
                <w:sz w:val="21"/>
                <w:szCs w:val="21"/>
              </w:rPr>
              <w:t>双面施焊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pct"/>
            <w:vAlign w:val="center"/>
          </w:tcPr>
          <w:p>
            <w:pPr>
              <w:jc w:val="center"/>
              <w:rPr>
                <w:rFonts w:ascii="宋体" w:hAnsi="宋体" w:eastAsia="宋体" w:cs="Times New Roman"/>
                <w:color w:val="000000"/>
                <w:spacing w:val="4"/>
                <w:sz w:val="21"/>
                <w:szCs w:val="21"/>
              </w:rPr>
            </w:pPr>
            <w:r>
              <w:rPr>
                <w:rFonts w:hint="eastAsia" w:ascii="宋体" w:hAnsi="宋体" w:eastAsia="宋体" w:cs="Times New Roman"/>
                <w:color w:val="000000"/>
                <w:spacing w:val="4"/>
                <w:sz w:val="21"/>
                <w:szCs w:val="21"/>
              </w:rPr>
              <w:t>扁钢与钢管、</w:t>
            </w:r>
          </w:p>
          <w:p>
            <w:pPr>
              <w:jc w:val="center"/>
              <w:rPr>
                <w:rFonts w:ascii="黑体" w:hAnsi="Times New Roman" w:eastAsia="黑体" w:cs="Times New Roman"/>
                <w:b/>
                <w:color w:val="000000"/>
                <w:spacing w:val="4"/>
                <w:sz w:val="21"/>
                <w:szCs w:val="21"/>
              </w:rPr>
            </w:pPr>
            <w:r>
              <w:rPr>
                <w:rFonts w:hint="eastAsia" w:ascii="宋体" w:hAnsi="宋体" w:eastAsia="宋体" w:cs="Times New Roman"/>
                <w:color w:val="000000"/>
                <w:spacing w:val="4"/>
                <w:sz w:val="21"/>
                <w:szCs w:val="21"/>
              </w:rPr>
              <w:t>扁钢与角钢</w:t>
            </w:r>
          </w:p>
        </w:tc>
        <w:tc>
          <w:tcPr>
            <w:tcW w:w="3441" w:type="pct"/>
            <w:gridSpan w:val="2"/>
            <w:vAlign w:val="center"/>
          </w:tcPr>
          <w:p>
            <w:pPr>
              <w:jc w:val="left"/>
              <w:rPr>
                <w:rFonts w:ascii="宋体" w:hAnsi="宋体" w:eastAsia="宋体" w:cs="Times New Roman"/>
                <w:color w:val="000000"/>
                <w:spacing w:val="4"/>
                <w:sz w:val="21"/>
                <w:szCs w:val="21"/>
              </w:rPr>
            </w:pPr>
            <w:r>
              <w:rPr>
                <w:rFonts w:hint="eastAsia" w:ascii="宋体" w:hAnsi="宋体" w:eastAsia="宋体" w:cs="Times New Roman"/>
                <w:color w:val="000000"/>
                <w:spacing w:val="4"/>
                <w:sz w:val="21"/>
                <w:szCs w:val="21"/>
              </w:rPr>
              <w:t xml:space="preserve">  紧贴角钢外侧两面或紧贴3/4钢管表面，上、下两侧施焊，并应焊以由扁钢弯成的弧形（或直角形）卡子或直接由扁钢本身弯成弧形或直角形与钢管或角钢焊接</w:t>
            </w:r>
          </w:p>
        </w:tc>
      </w:tr>
    </w:tbl>
    <w:p>
      <w:pPr>
        <w:pStyle w:val="5"/>
        <w:spacing w:line="400" w:lineRule="exact"/>
        <w:ind w:firstLine="0" w:firstLineChars="0"/>
        <w:jc w:val="left"/>
        <w:rPr>
          <w:rFonts w:ascii="Times New Roman" w:hAnsi="Times New Roman"/>
          <w:color w:val="000000"/>
          <w:kern w:val="0"/>
          <w:sz w:val="24"/>
          <w:szCs w:val="24"/>
        </w:rPr>
      </w:pPr>
    </w:p>
    <w:p>
      <w:pPr>
        <w:spacing w:line="400" w:lineRule="exact"/>
        <w:ind w:firstLine="210" w:firstLineChars="100"/>
        <w:jc w:val="left"/>
        <w:rPr>
          <w:rFonts w:ascii="Times New Roman" w:hAnsi="Times New Roman"/>
          <w:color w:val="000000"/>
          <w:sz w:val="24"/>
          <w:szCs w:val="24"/>
        </w:rPr>
      </w:pPr>
      <w:r>
        <w:rPr>
          <w:rFonts w:ascii="Times New Roman" w:hAnsi="Times New Roman" w:eastAsia="黑体" w:cs="Times New Roman"/>
          <w:color w:val="000000"/>
          <w:sz w:val="21"/>
          <w:szCs w:val="22"/>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表4.1.2</w:t>
      </w:r>
    </w:p>
    <w:p>
      <w:pPr>
        <w:pStyle w:val="5"/>
        <w:spacing w:line="400" w:lineRule="exact"/>
        <w:ind w:firstLine="0" w:firstLineChars="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简述引下线安装主控项目的规定。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引下线的安装布置应符合现行国家标准《建筑物防雷设计规范》GB50057的有关规定，第一类、第二类和第三类防雷建筑物专设引下线不应少于两根，并应沿建筑物周围均匀布设，其平均间距分别不应大于12m、18m和25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2）明敷的专用引下线应分段固定，并应以最短路径敷设到接地体，敷设应平正顺直、无急弯。焊接固定的焊缝应饱满无遗漏，螺栓固定应有防松零件（垫圈），焊接部分的防腐应完整。</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3）建筑物外的引下线敷设在人员可停留或经过的区域时，应采用下列一种或多种方法，防止接触电压和旁侧闪络电压对人员造成伤害： </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a）外露引下线在高2.7m以下部分穿不小于3mm厚的交联聚乙烯管，交联聚乙烯管应能耐受100kV冲击电压（1.2/50μs波形）。</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b）应设立阻止人员进入的护拦或警示牌。护拦与引下线水平距离不应小于3 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4）引下线两端应分别与接闪器和接地装置做可靠的电气连接。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引下线上应无附着的其他电气线路，在通信塔或其他高耸金属构架起接闪作用的金属物上敷设电气线路时，线路应采用直埋于土壤中的铠装电缆或穿金属管敷设的导线。电缆的金属护层或金属管应两端接地，埋入土壤中的长度不应小于10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6）引下线安装与易燃材料的墙壁或墙体保温层间距应大于0.1m。</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第5.1.1条</w:t>
      </w:r>
    </w:p>
    <w:p>
      <w:pPr>
        <w:pStyle w:val="5"/>
        <w:spacing w:line="400" w:lineRule="exact"/>
        <w:ind w:firstLine="48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简述引下线和接闪导体固定支架的间距。</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3"/>
        <w:tblW w:w="7479" w:type="dxa"/>
        <w:tblInd w:w="6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7"/>
        <w:gridCol w:w="2216"/>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3047" w:type="dxa"/>
            <w:tcBorders>
              <w:bottom w:val="single" w:color="auto" w:sz="12" w:space="0"/>
            </w:tcBorders>
            <w:vAlign w:val="center"/>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布置方式</w:t>
            </w:r>
          </w:p>
        </w:tc>
        <w:tc>
          <w:tcPr>
            <w:tcW w:w="2216" w:type="dxa"/>
            <w:tcBorders>
              <w:bottom w:val="single" w:color="auto" w:sz="12"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扁形导体和绞线固定支架的间距(mm)</w:t>
            </w:r>
          </w:p>
        </w:tc>
        <w:tc>
          <w:tcPr>
            <w:tcW w:w="2216" w:type="dxa"/>
            <w:tcBorders>
              <w:bottom w:val="single" w:color="auto" w:sz="12"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单根圆形导体固定支架的间距(mm)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047" w:type="dxa"/>
            <w:tcBorders>
              <w:top w:val="single" w:color="auto" w:sz="12" w:space="0"/>
            </w:tcBorders>
          </w:tcPr>
          <w:p>
            <w:pPr>
              <w:ind w:firstLine="315" w:firstLineChars="150"/>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水平面上的水平导体</w:t>
            </w:r>
          </w:p>
        </w:tc>
        <w:tc>
          <w:tcPr>
            <w:tcW w:w="2216" w:type="dxa"/>
            <w:tcBorders>
              <w:top w:val="single" w:color="auto" w:sz="12"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500</w:t>
            </w:r>
          </w:p>
        </w:tc>
        <w:tc>
          <w:tcPr>
            <w:tcW w:w="2216" w:type="dxa"/>
            <w:tcBorders>
              <w:top w:val="single" w:color="auto" w:sz="12"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047" w:type="dxa"/>
            <w:tcBorders>
              <w:top w:val="single" w:color="auto" w:sz="4" w:space="0"/>
            </w:tcBorders>
          </w:tcPr>
          <w:p>
            <w:pPr>
              <w:ind w:firstLine="315" w:firstLineChars="150"/>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垂直面上的水平导体</w:t>
            </w:r>
          </w:p>
        </w:tc>
        <w:tc>
          <w:tcPr>
            <w:tcW w:w="2216" w:type="dxa"/>
            <w:tcBorders>
              <w:top w:val="single" w:color="auto" w:sz="4"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500</w:t>
            </w:r>
          </w:p>
        </w:tc>
        <w:tc>
          <w:tcPr>
            <w:tcW w:w="2216" w:type="dxa"/>
            <w:tcBorders>
              <w:top w:val="single" w:color="auto" w:sz="4"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3047" w:type="dxa"/>
            <w:tcBorders>
              <w:top w:val="single" w:color="auto" w:sz="4" w:space="0"/>
            </w:tcBorders>
          </w:tcPr>
          <w:p>
            <w:pPr>
              <w:ind w:firstLine="315" w:firstLineChars="150"/>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地面至20 m处的垂直导体</w:t>
            </w:r>
          </w:p>
        </w:tc>
        <w:tc>
          <w:tcPr>
            <w:tcW w:w="2216" w:type="dxa"/>
            <w:tcBorders>
              <w:top w:val="single" w:color="auto" w:sz="4"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1000</w:t>
            </w:r>
          </w:p>
        </w:tc>
        <w:tc>
          <w:tcPr>
            <w:tcW w:w="2216" w:type="dxa"/>
            <w:tcBorders>
              <w:top w:val="single" w:color="auto" w:sz="4" w:space="0"/>
            </w:tcBorders>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3047" w:type="dxa"/>
          </w:tcPr>
          <w:p>
            <w:pPr>
              <w:tabs>
                <w:tab w:val="left" w:pos="238"/>
              </w:tabs>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从20 m处起往上的垂直导体</w:t>
            </w:r>
          </w:p>
        </w:tc>
        <w:tc>
          <w:tcPr>
            <w:tcW w:w="2216" w:type="dxa"/>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500</w:t>
            </w:r>
          </w:p>
        </w:tc>
        <w:tc>
          <w:tcPr>
            <w:tcW w:w="2216" w:type="dxa"/>
          </w:tcPr>
          <w:p>
            <w:pPr>
              <w:jc w:val="center"/>
              <w:rPr>
                <w:rFonts w:ascii="宋体" w:hAnsi="Times New Roman" w:eastAsia="宋体" w:cs="Times New Roman"/>
                <w:color w:val="000000"/>
                <w:sz w:val="21"/>
                <w:szCs w:val="21"/>
              </w:rPr>
            </w:pPr>
            <w:r>
              <w:rPr>
                <w:rFonts w:hint="eastAsia" w:ascii="宋体" w:hAnsi="Times New Roman" w:eastAsia="宋体" w:cs="Times New Roman"/>
                <w:color w:val="000000"/>
                <w:sz w:val="21"/>
                <w:szCs w:val="21"/>
              </w:rPr>
              <w:t>1000</w:t>
            </w:r>
          </w:p>
        </w:tc>
      </w:tr>
    </w:tbl>
    <w:p>
      <w:pPr>
        <w:pStyle w:val="5"/>
        <w:spacing w:line="400" w:lineRule="exact"/>
        <w:ind w:firstLine="0" w:firstLineChars="0"/>
        <w:jc w:val="left"/>
        <w:rPr>
          <w:rFonts w:ascii="Times New Roman" w:hAnsi="Times New Roman"/>
          <w:color w:val="000000"/>
          <w:kern w:val="0"/>
          <w:sz w:val="24"/>
          <w:szCs w:val="24"/>
        </w:rPr>
      </w:pPr>
    </w:p>
    <w:p>
      <w:pPr>
        <w:spacing w:line="400" w:lineRule="exact"/>
        <w:ind w:firstLine="315" w:firstLineChars="150"/>
        <w:jc w:val="left"/>
        <w:rPr>
          <w:rFonts w:ascii="Times New Roman" w:hAnsi="Times New Roman"/>
          <w:color w:val="000000"/>
          <w:sz w:val="24"/>
          <w:szCs w:val="24"/>
        </w:rPr>
      </w:pPr>
      <w:r>
        <w:rPr>
          <w:rFonts w:ascii="Times New Roman" w:hAnsi="Times New Roman" w:eastAsia="黑体" w:cs="Times New Roman"/>
          <w:color w:val="000000"/>
          <w:sz w:val="21"/>
          <w:szCs w:val="22"/>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表5.1.2</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简述引下线安装工序？</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1）利用建筑物柱内钢筋作为引下线，在柱内主钢筋绑扎或焊接连接后，应做标志，并应按设计要求施工，应经检查确认记录后再支模。</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2）直接从基础接地体或人工接地体引出的专用引下线，应先按设计要求安装固定支架，并应经检查确认后再敷设引下线。</w:t>
      </w:r>
    </w:p>
    <w:p>
      <w:pPr>
        <w:spacing w:line="400" w:lineRule="exact"/>
        <w:ind w:firstLine="210" w:firstLineChars="100"/>
        <w:jc w:val="left"/>
        <w:rPr>
          <w:rFonts w:ascii="Times New Roman" w:hAnsi="Times New Roman"/>
          <w:color w:val="000000"/>
          <w:sz w:val="24"/>
          <w:szCs w:val="24"/>
        </w:rPr>
      </w:pPr>
      <w:r>
        <w:rPr>
          <w:rFonts w:ascii="Times New Roman" w:hAnsi="Times New Roman" w:eastAsia="黑体"/>
          <w:color w:val="000000"/>
          <w:sz w:val="21"/>
          <w:szCs w:val="21"/>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第5.2条</w:t>
      </w:r>
    </w:p>
    <w:p>
      <w:pPr>
        <w:pStyle w:val="5"/>
        <w:spacing w:line="400" w:lineRule="exact"/>
        <w:ind w:firstLine="0" w:firstLineChars="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简述接闪器安装主控项目的规定。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1）建筑物顶部和外墙上的接闪器必须与建筑物栏杆、旗杆、吊车梁、管道、设备、太阳能热水器、门窗、幕墙支架等外露的金属物进行电气连接。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2）接闪器的安装布置应符合工程设计文件的要求，并应符合现行国家标准《建筑物防雷设计规范》GB50057中对不同类别防雷建筑物接闪器布置的要求。  </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位于建筑物顶部的接闪导线可按工程设计文件要求暗敷在混凝土女儿墙或混凝土屋面内。当采用暗敷时，作为接闪导线的钢筋施工应符合现行国家标准《混凝土结构工程施工质量验收规范》GB50204中第5章的规定。高层建筑物的接闪器应采取明敷方法。在多雷区，宜在屋面拐角处安装短接闪杆。</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4）专用接闪杆应能承受0.7kN/m</w:t>
      </w:r>
      <w:r>
        <w:rPr>
          <w:rFonts w:hint="eastAsia" w:ascii="Times New Roman" w:hAnsi="Times New Roman"/>
          <w:color w:val="000000"/>
          <w:vertAlign w:val="superscript"/>
        </w:rPr>
        <w:t>2</w:t>
      </w:r>
      <w:r>
        <w:rPr>
          <w:rFonts w:hint="eastAsia" w:ascii="Times New Roman" w:hAnsi="Times New Roman"/>
          <w:color w:val="000000"/>
        </w:rPr>
        <w:t>的基本风压，在经常发生台风和大于11级大风的地区，宜增大接闪杆的尺寸。</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5）接闪器上应无附着的其他电气线路或通信线、信号线，设计文件中有其他电气线和通信线敷设在通讯塔上时，应符合GB50601–2010第5.1.1条第5款的规定。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第6.1.1条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简述接闪器安装一般项目的规定。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1）利用建筑物金属屋面、旗杆、铁塔等金属物做接闪器时，建筑物金属屋面、旗杆、铁塔等金属物的材料、规格应符合GB50601–2010附录B的有关规定。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2）专用接闪杆位置应正确，焊接固定的焊缝应饱满无遗漏，焊接部分防腐应完整。接闪导线应位置正确、平正顺直、无急弯。焊接的焊缝应饱满无遗漏，螺栓固定的应有防松零件。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3）接闪导线焊接时的搭接长度及焊接方法应符合GB50601–2010第4.1.2条第4款的规定。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4）固定接闪导线的固定支架应固定可靠，每个固定支架应能承受49N的垂直拉力。固定支架应均匀，并应符合GB50601–2010表5.1.2的要求。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5）接闪器在建筑物伸缩缝处的跨接及坡屋面上施工可按GB50601–2010附录D中图D.0.3－1～图D.0.3－3执行。</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第6.1.2条</w:t>
      </w:r>
    </w:p>
    <w:p>
      <w:pPr>
        <w:pStyle w:val="5"/>
        <w:spacing w:line="400" w:lineRule="exact"/>
        <w:ind w:left="400" w:firstLine="360" w:firstLineChars="150"/>
        <w:jc w:val="left"/>
        <w:rPr>
          <w:rFonts w:ascii="Times New Roman" w:hAnsi="Times New Roman"/>
          <w:color w:val="000000"/>
          <w:kern w:val="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简述接闪器安装工序。</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1）暗敷在建筑物混凝土中的接闪导线，在主筋绑扎或认定主筋进行焊接，并做好标志后，应按设计要求施工，并应经检查确认隐蔽工程验收记录后再支模或浇捣混凝土；</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2）明敷在建筑物上的接闪器应在接地装置和引下线施工完成后再安装，并应与引下线电气连接。</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第6.2条</w:t>
      </w:r>
    </w:p>
    <w:p>
      <w:pPr>
        <w:pStyle w:val="5"/>
        <w:spacing w:line="400" w:lineRule="exact"/>
        <w:ind w:firstLine="0" w:firstLineChars="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简述等电位连接安装主控项目的规定。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1）除应符合GB50601–2010第6.1.1条第1款的规定，尚应按现行国家标准《建筑物防雷设计规范》GB50057中有关对各类防雷建筑物的规定，对进出建筑物的金属管线做等电位连接。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2）在建筑物入户处应做总等电位连接。建筑物等电位连接干线与接地装置应有不少于2处的直接连接。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3）第一类防雷建筑物和具有1区、2区、21区及22区爆炸危险场所的第二类防雷建筑物内、外的金属管道、构架和电缆金属外皮等长金属物的跨接，应符合现行国家标准《建筑物防雷设计规范》GB50057的有关规定。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第7.1.1条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简述等电位连接安装一般项目的规定。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1）等电位连接可采取焊接、螺钉或螺栓连接等。当采用焊接时，应符合GB50601–2010第4.1.2条第4款的规定。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2）在建筑物后续防雷区界面处的等电位连接应符合现行国家标准《建筑物防雷设计规范》GB50057的有关规定。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电子系统设备机房的等电位连接应根据电子系统的工作频率分别采用星形结构（S型）或网形结构（M型）。工作频率小于300kHz的模拟线路，可采用星形结构等电位连接网络；频率为兆赫（MHz）级的数字线路，应采用网形结构等电位连接网络。</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4）建筑物入户处等电位连接施工和屋面金属管入户等电位连接施工可按GB50601–2010附录D中图D.0.2－5、图D.0.3－3和图D.0.4－1～图D.0.4－5执行。</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第7.1.2条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简述等电位连接安装工序。</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1）在建筑物入户处的总等电位连接，应对入户金属管线和总等电位连接板的位置检查确认后再设置与接地装置连接的总等电位连接板，并应按设计要求做等电位连接。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2）在后续防雷区交界处，应对供连接用的等电位连接板和需要连接的金属物体的位置检查确认记录后再设置与建筑物主筋连接的等电位连接板，并应按设计要求做等电位连接。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在确认网形结构等电位连接网与建筑物内钢筋或钢构件连接点的位置、信息技术设备的位置后，应按设计要求施工。网形结构等电位连接网的周边宜每隔5m与建筑物内的钢筋或钢结构连接一次。电子系统模拟线路工作频率小于300kHz时，可在选择与接地系统最接近的位置设置接地基准点后，再按星形结构等电位连接网设计要求施工。</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第7.2条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简述屏蔽装置安装主控项目的规定。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1）当工程设计文件要求为了防止雷击电磁脉冲对室内电子设备产生损害或干扰而需采取屏蔽措施时，屏蔽工程施工应符合工程设计文件和现行国家标准《电子信息系统机房施工及验收规范》GB50462的有关规定。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当工程设计文件有防雷专用屏蔽室时，屏蔽壳体、屏蔽门、各类滤波器、截止通风导窗、屏蔽玻璃窗、屏蔽暗箱的安装，应符合工程设计文件的要求。屏蔽室的等电位连接应符合GB50601–2010第7.1.2.条第3款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第8.1.1条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简述屏蔽装置安装一般项目的规定。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1）设有电磁屏蔽室的机房，建筑结构应满足屏蔽结构对荷载的要求。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2）电磁屏蔽室与建筑物内墙之间宜预留维修通道。</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第8.1.2条</w:t>
      </w:r>
    </w:p>
    <w:p>
      <w:pPr>
        <w:pStyle w:val="5"/>
        <w:spacing w:line="400" w:lineRule="exact"/>
        <w:ind w:firstLine="0" w:firstLineChars="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简述建筑物格栅形大空间屏蔽工程安装工序应符合的规定。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1）应按工程设计文件要求选用金属导体在建筑物六面体上敷设，对金属导体本身或其与建筑物内的钢筋构成的网格尺寸，应经检查确认后再进行电气连接。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 2）支模或进行内装修时，应使屏蔽网格埋在混凝土或装修材料之中。</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第8.2.2条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简述专用屏蔽室安装工序应符合的规定？</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1）应将模块式的可拆式屏蔽室在房间内按设计要求安装，并应预留出等电位连接端子。</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2）应将屏蔽室预留等电位连接端子与建筑物内等电位连接带进行电气连接，并应经检查确认后再进行屏蔽室固定和外部装修。</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3）应安装屏蔽门、屏蔽窗和滤波器，并应检查屏蔽焊缝的严密和牢固。</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第8.2.2条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简述综合布线分项工程安装主控项目的规定。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1）低压配电线路（三相或单相）的单芯线缆不应单独穿于金属管内。</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2）不同回路、不同电压等级的交流和直流电线不应穿于同一金属管中，同一交流回路的电线应穿于同一金属管中，管内电线不得有接头。</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3）爆炸危险场所使用的电线（电缆）的额定耐受电压值不应低于750V，且必须穿在金属管中。</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第9.1.1条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简述综合布线分项工程安装一般项目的规定？</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1）建筑物内传输网络的综合布线施工应符合现行国家标准《综合布线系统工程验收规范》GB50312的有关规定。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2）当信息技术电缆与供配电电缆同属一个电缆管理系统和同一路由时，其布线应符合下列规定：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a） 电缆布线系统的全部外露可导电部分，均应按GB50601–2010第7.1节的要求进行等电位连接。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b） 由分线箱引出的信息技术电缆与供配电电缆平行敷设的长度大于35m时，从分线箱起的20m内应采取隔离措施，也可保持两线缆之间有大于30mm的间距，或在槽盒中加金属板隔开。</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c）在条件许可时，宜采用多层走线槽盒，强、弱电线路宜分层布设。</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3）低压配电系统的电线色标应符合相线采用黄、绿、红色，中性线用浅蓝色，保护线用绿/黄双色线的要求。</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第9.1.2条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简述综合布线分项工程安装工序。</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1）信息技术设备应按设计要求确认安装位置，并应按设备主次逐个安装机柜、机架。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2）各类配线的额定电压值、色标应符合GB50601–2010第9.1节和设计文件的要求，并应经检查确认后备用。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3）敷设各类配线的线槽（盒）、桥架或金属管应符合设计文件的要求，并应经检查确认后，再按设计文件规定的位置和走向安装固定。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4）已安装固定的线槽（盒）、桥架或金属管应与建筑物内的等电位连接带进行电气连接，连接处的过渡电阻不应大于0.24Ω。</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5）各类配线应按设计文件要求分别布设到线槽（盒）、桥架或金属管内，经检查确认后，再与低压配电系统和信息技术设备相连接。</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第9.2条</w:t>
      </w:r>
    </w:p>
    <w:p>
      <w:pPr>
        <w:pStyle w:val="5"/>
        <w:spacing w:line="400" w:lineRule="exact"/>
        <w:ind w:firstLine="0" w:firstLineChars="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简述电涌保护器安装主控项目的规定。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1）低压配电系统中SPD的安装布置应符合工程设计文件的要求，并应符合现行国家标准《建筑物电气装置 第5-53部分：电气设备的选择和安装 隔离、开关和控制设备  第534节：过电压保护电器》GB16895.22、《低压配电系统的电涌保护器（SPD）第12部分：选择和使用导则》GB/T18802.12和《建筑物防雷设计规范》GB50057的有关规定。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2）电子系统信号网络中的SPD的安装布置应符合工程设计文件的要求，并应符合现行国家标准《低压电涌保护器  第22部分：电信和信号网络的电涌保护器（SPD）选择和使用导则》GB/T18802.22和《建筑物防雷设计规范》GB50057的有关规定。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当建筑物上有外部防雷装置，或建筑物上虽未敷设外部防雷装置，但与之邻近的建筑物上有外部防雷装置且两建筑物之间有电气联系时，有外部防雷装置的建筑物和有电气联系的建筑物内总配电柜上安装的SPD应符合下列要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 a）应当使用Ⅰ级分类试验的SPD。</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 b）低压配电系统的SPD的主要性能参数：冲击电流应不小于12.5kA(10/350μs),电压保护水平不应大于2.5kV,最大持续运行电压应根据低压配电系统的接地型式选取。</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4）当SPD内部未设计热脱扣装置时，对失效状态为短路型的SPD，应在其前端安装熔丝、热熔线圈或断路器进行后备过电流保护。</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第10.1.1条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简述电涌保护器安装一般项目的规定。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1）当低压配电系统中安装的第一级SPD与被保护设备之间关系无法满足下列条件时，应在靠近被保护设备的分配电盘或设备前端安装第二级SPD：</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a）第一级SPD的有效电压保护水平低于设备的耐过电压额定值时。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b）第一级SPD与被保护设备之间的线路长度小于10m时。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c）在建筑物内部不存在雷击放电或内部干扰源产生的电磁场干扰时。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2）第二级SPD无法满足本条第1款的条件时，应安装第三级SPD。</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无明确的产品安装指南时，开关型SPD与限压型SPD之间的线路长度不宜小于10m，限压型SPD之间的线路长度不宜小于5m。当SPD之间的线路长度小于10m或5m时应加装退耦的电感（或电阻）元件。生产厂明确在其产品中已有能量配合的措施时，可不再接退耦元件。</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4）在电子信号网络中安装的第一级SPD应安装在建筑物入户处的配线架上，当传输电缆直接接至被保护设备的接口时，宜安装在设备接口上。</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5）在电子信号网络中安装第二级、第三级SPD的方法应符合本条第1~3款的规定。</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6）SPD两端连线的材料和最小截面要求应符合GB50601–2010附录B中表B.2.2的规定。连线应短且直，总连线长度不宜大于0.5m，如有实际困难，可按GB50601–2010附录D中图D.0.7－2所示采用V型连接。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7）SPD在低压配电系统中和电子系统中安装施工可按GB50601–2010附录D中图D.0.5－1～图D.0.5－5、图D.0.6－1～图D.0.6－2和图D.0.8－1～图D.0.8－3执行。</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第10.1.2条</w:t>
      </w:r>
    </w:p>
    <w:p>
      <w:pPr>
        <w:pStyle w:val="5"/>
        <w:spacing w:line="400" w:lineRule="exact"/>
        <w:ind w:firstLine="0" w:firstLineChars="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简述电涌保护器安装工序。</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1）低压配电系统中的SPD安装，应在对配电系统接地型式、SPD安装位置、SPD的后备过电流保护安装位置及SPD两端连线位置检查确认后，首先安装SPD，在确认安装牢固后，将SPD的接地线与等电位连接带连接后再与带电导线进行连接。 </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2）电信和信号网络中的SPD安装，应在SPD安装位置和SPD两端连接件及接地线位置检查确认后，首先安装SPD，在确认安装牢固后，应将SPD的接地线与等电位连接带连接后再接入网络。</w:t>
      </w:r>
    </w:p>
    <w:p>
      <w:pPr>
        <w:pStyle w:val="5"/>
        <w:spacing w:line="400" w:lineRule="exact"/>
        <w:ind w:left="400" w:firstLine="315" w:firstLineChars="15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第10.2条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简述检验批质量合格应符合的规定。</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1）主控项目和一般项目的质量应经抽样检验合格。</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2）应具有完整的施工操作依据、质量检查记录。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检验批的质量检验抽样方案应符合现行国家标准《建筑工程施工质量验收统一标准》GB50300-2001中第3.0.4条的规定。对生产方错判概率，主控项目和一般项目的合格质量水平的错判概率值不宜超过5%；对使用方漏判概率，主控项目的合格质量水平的错判概率值不宜超过5%，一般项目的合格质量水平的漏判概率值不宜超过10%。</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4）检验批的质量验收记录表格样式可按GB50601–2010附录E执行。</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第11.1.4条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简述分项工程质量验收合格应符合的规定。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1）分项工程所含的检验批均应符合GB50601–2010第11.1.4条的要求。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2）分项工程所含的检验批的质量验收记录应完整。分项工程质量验收表格样式可按GB50601–2010附录E执行。</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第11.1.5条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简述防雷工程（子分部工程）验收合格应符合的规定。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1）防雷工程所含的分项工程的质量均应验收合格。</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2）质量控制资料应符合GB50601–2010第3.2.1和3.2.2条的要求，并应完整齐全。</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3）施工现场质量管理检查记录表的填写应完整。</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4）工程的观感质量验收应经验收人员通过现场检查，并应共同确认。</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5）防雷工程（子分部工程）质量验收记录表格可按GB50601–2010附录E执行。</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第11.1.6条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简述接地装置安装工程的检验批划分和验收主控项目和一般项目应进行的检测。</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1）供测量和等电位连接用的连接板（测量点）的数量和位置是否符合设计要求。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2）测试接地装置的接地电阻值。</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3）检查在建筑物外人员可停留或经过的区域需要防跨步电压的措施。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4）检查第一类防雷建筑物接地装置及与其有电气联系的金属管线与独立接闪器接地装置的安全距离。</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5）检查整个接地网外露部分接地线的规格、防腐、标识和防机械损伤等措施。测试与同一接地网连接的各相邻设备连接线的电气贯通状况，其间直流过渡电阻不应大于0.2Ω。</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第11.2.1条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简述引下线安装工程的检验批划分和验收主控项目和一般项目应进行的检测。</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1）检测引下线的平均间距。当利用建筑物的柱内钢筋作为引下线且无隐蔽工程记录可查时，宜按现行行业标准《混凝土内钢筋检测技术规程》JGJ/T152的有关规定进行检测。</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2）检查引下线的敷设、固定、防腐、防机械损伤措施。</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3）检查明敷引下线防接触电压、闪络电压危害的措施。检查引下线与易燃材料的墙壁或保温层的安全间距。</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4）测量引下线两端和引下线连接处的电气连接状况，其间直流过渡电阻值不应大于0.2Ω。</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5）检测在引下线上附着其他电气线路的防雷电波引入措施。</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第11.2.2条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简述接闪器安装工程的检验批划分和验收主控项目和一般项目应进行的检测。</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1）检查接闪器与大尺寸金属物体的电气连接情况，其间直流过渡电阻值不应大于0.2Ω。</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2）检查明敷接闪器的布置，接闪导线（避雷网）的网络尺寸是否大于第一类防雷建筑物5m×5m或4m×6m、第二类防雷建筑物10m×10m或8m×12m、第三类防雷建筑物20m×20m或16m×24m的要求。</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3）检查暗敷接闪器的敷设情况，当无隐蔽工程记录可查时，宜按GB50601–2010第11.2.2.条第2款的要求进行检测。</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4）检查接闪器的焊接、螺栓固定的应备帽、焊接处防锈状况。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5）检查接闪导线的平正顺直、无急弯和固定支架的状况。</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6）检查接闪器上附着其他电气线路或其他导电物是否有防雷电波引入措施和与易燃易爆物品之间的安全间距。</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第11.2.3条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简述等电位连接工程的检验批划分和验收应符合的规定。</w:t>
      </w:r>
      <w:r>
        <w:rPr>
          <w:rFonts w:ascii="Times New Roman" w:hAnsi="Times New Roman" w:eastAsia="宋体" w:cs="Times New Roman"/>
          <w:b/>
          <w:color w:val="000000" w:themeColor="text1"/>
          <w:sz w:val="24"/>
          <w:szCs w:val="24"/>
          <w14:textFill>
            <w14:solidFill>
              <w14:schemeClr w14:val="tx1"/>
            </w14:solidFill>
          </w14:textFill>
        </w:rPr>
        <w:t xml:space="preserve"> </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1）等电位连接工程应按建筑物外大尺寸金属物等电位连接、金属管线等电位连接、各防雷区等电位连接和电子系统设备机房各分为1个检验批进行质量验收和记录。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等电位连接的有效性可通过等电位连接导体之间的电阻值测试来确定，第一类防雷建筑物中长金属物的弯头、阀门、法兰盘等连接处的过渡电阻不应大于0.03Ω；连在额定值为16A的断路器线路中，同时触及的外露可导电部分和装置外可导电部分之间的电阻不应大于0.24Ω；等电位连接带与连接范围内的金属管道等金属体末端之间的直流过渡电阻值不应大于3Ω。</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第11.2.4条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简述防雷电磁屏蔽室主控项目和一般项目应进行的检测。</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 xml:space="preserve">答： </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1）对壳体的所有接缝、屏蔽门、截止波导通风窗、滤波器等屏蔽接口使用电磁屏蔽检漏仪进行连续检漏。</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2）检查壳体的等电位连接状况，其间直流过渡电阻值不应大于0.2Ω。</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3）屏蔽效能的测试应符合现行国家标准《电磁屏蔽室屏蔽效能的测量方法》GB/T 12190的有关规定。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第11.2.5条</w:t>
      </w: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简述综合布线工程的检验批划分和验收应符合的规定。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1）综合布线工程应为1个检验批，当建筑工程有若干独立的建筑时，可按建筑物的数量分为几个检验批进行质量验收和记录。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2）对工程主控项目和一般项目应逐项进行检查和测量。</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3）综合布线工程电气测试应符合现行国家标准《综合布线系统工程验收规范》GB50312的规定。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第11.2.6条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简述SPD安装工程的检验批划分和验收应符合的规定。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1）SPD安装工程可做为1个检验批，也可按低压配电系统和电子系统中的安装分为2个检验批进行质量验收和记录。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2）对主控项目和一般项目应逐项进行检查。</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3）SPD的主要性能参数测试应符合现行国家标准《建筑物防雷装置检测技术规范》GB/T21431-2008第5.8.2和第5.8.3条的规定。</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第11.2.7条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简述利用金属屋面做第二类、第三类防雷建筑物的接闪器时，当金属板下无易燃物品时，接闪的金属屋面的材料和规格应符合的规定。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1）铅板厚度大于等于2mm；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2）钢、钛、铜板厚度大于等于0.5mm；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3）铝板厚度大于等于0.65mm；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4）锌板大于等于0.7mm。</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第B.1.2条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简述利用金属屋面做第二类、第三类防雷建筑物的接闪器时，当金属板下有易燃物品时，接闪的金属屋面的材料和规格应符合的规定。</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1）钢、钛板厚度大于等于4mm；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2）铜板厚度大于等于5mm；</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3）铝板厚度大于等于7mm；</w:t>
      </w: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第B.1.2条</w:t>
      </w: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简述防雷装置各连接部件的最小截面。</w:t>
      </w:r>
    </w:p>
    <w:p>
      <w:pPr>
        <w:spacing w:line="400" w:lineRule="exact"/>
        <w:ind w:firstLine="240" w:firstLineChars="100"/>
        <w:jc w:val="left"/>
        <w:rPr>
          <w:rFonts w:ascii="Times New Roman" w:hAnsi="Times New Roman"/>
          <w:color w:val="000000"/>
          <w:kern w:val="0"/>
          <w:sz w:val="24"/>
          <w:szCs w:val="24"/>
        </w:rPr>
      </w:pPr>
      <w:r>
        <w:rPr>
          <w:rFonts w:hint="eastAsia" w:ascii="Times New Roman" w:hAnsi="Times New Roman"/>
          <w:color w:val="000000"/>
          <w:kern w:val="0"/>
          <w:sz w:val="24"/>
          <w:szCs w:val="24"/>
        </w:rPr>
        <w:t>答：</w:t>
      </w: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980"/>
        <w:gridCol w:w="2921"/>
        <w:gridCol w:w="189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740" w:type="dxa"/>
            <w:gridSpan w:val="3"/>
            <w:tcBorders>
              <w:bottom w:val="single" w:color="auto" w:sz="1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等电位连接部件</w:t>
            </w:r>
          </w:p>
        </w:tc>
        <w:tc>
          <w:tcPr>
            <w:tcW w:w="1892" w:type="dxa"/>
            <w:tcBorders>
              <w:bottom w:val="single" w:color="auto" w:sz="1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材料</w:t>
            </w:r>
          </w:p>
        </w:tc>
        <w:tc>
          <w:tcPr>
            <w:tcW w:w="1782" w:type="dxa"/>
            <w:tcBorders>
              <w:bottom w:val="single" w:color="auto" w:sz="1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截面(mm</w:t>
            </w:r>
            <w:r>
              <w:rPr>
                <w:rFonts w:hint="eastAsia" w:ascii="宋体" w:hAnsi="宋体" w:eastAsia="宋体" w:cs="Times New Roman"/>
                <w:color w:val="000000"/>
                <w:sz w:val="18"/>
                <w:szCs w:val="18"/>
                <w:vertAlign w:val="superscript"/>
              </w:rPr>
              <w:t>2</w:t>
            </w:r>
            <w:r>
              <w:rPr>
                <w:rFonts w:hint="eastAsia" w:ascii="宋体" w:hAnsi="宋体" w:eastAsia="宋体"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740" w:type="dxa"/>
            <w:gridSpan w:val="3"/>
            <w:tcBorders>
              <w:top w:val="single" w:color="auto" w:sz="12" w:space="0"/>
            </w:tcBorders>
            <w:vAlign w:val="center"/>
          </w:tcPr>
          <w:p>
            <w:pPr>
              <w:ind w:firstLine="90" w:firstLineChars="5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等电位连接带（铜或热镀锌钢）</w:t>
            </w:r>
          </w:p>
        </w:tc>
        <w:tc>
          <w:tcPr>
            <w:tcW w:w="1892" w:type="dxa"/>
            <w:tcBorders>
              <w:top w:val="single" w:color="auto" w:sz="1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铜、铁</w:t>
            </w:r>
          </w:p>
        </w:tc>
        <w:tc>
          <w:tcPr>
            <w:tcW w:w="1782" w:type="dxa"/>
            <w:tcBorders>
              <w:top w:val="single" w:color="auto" w:sz="12" w:space="0"/>
            </w:tcBorders>
          </w:tcPr>
          <w:p>
            <w:pPr>
              <w:ind w:firstLine="720" w:firstLineChars="400"/>
              <w:rPr>
                <w:rFonts w:ascii="宋体" w:hAnsi="宋体" w:eastAsia="宋体" w:cs="Times New Roman"/>
                <w:color w:val="000000"/>
                <w:sz w:val="18"/>
                <w:szCs w:val="18"/>
              </w:rPr>
            </w:pPr>
            <w:r>
              <w:rPr>
                <w:rFonts w:hint="eastAsia" w:ascii="宋体" w:hAnsi="宋体" w:eastAsia="宋体" w:cs="Times New Roman"/>
                <w:color w:val="000000"/>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4740" w:type="dxa"/>
            <w:gridSpan w:val="3"/>
            <w:vMerge w:val="restart"/>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从等电位连接带至接地装置或至其他等电位连接带的连接导体</w:t>
            </w:r>
          </w:p>
        </w:tc>
        <w:tc>
          <w:tcPr>
            <w:tcW w:w="1892" w:type="dxa"/>
            <w:tcBorders>
              <w:bottom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铜</w:t>
            </w:r>
          </w:p>
        </w:tc>
        <w:tc>
          <w:tcPr>
            <w:tcW w:w="1782" w:type="dxa"/>
            <w:tcBorders>
              <w:bottom w:val="single" w:color="auto" w:sz="2" w:space="0"/>
            </w:tcBorders>
          </w:tcPr>
          <w:p>
            <w:pPr>
              <w:ind w:firstLine="720" w:firstLineChars="400"/>
              <w:rPr>
                <w:rFonts w:ascii="宋体" w:hAnsi="宋体" w:eastAsia="宋体" w:cs="Times New Roman"/>
                <w:color w:val="000000"/>
                <w:sz w:val="18"/>
                <w:szCs w:val="18"/>
              </w:rPr>
            </w:pPr>
            <w:r>
              <w:rPr>
                <w:rFonts w:hint="eastAsia" w:ascii="宋体" w:hAnsi="宋体" w:eastAsia="宋体" w:cs="Times New Roman"/>
                <w:color w:val="000000"/>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trPr>
        <w:tc>
          <w:tcPr>
            <w:tcW w:w="4740" w:type="dxa"/>
            <w:gridSpan w:val="3"/>
            <w:vMerge w:val="continue"/>
            <w:vAlign w:val="center"/>
          </w:tcPr>
          <w:p>
            <w:pPr>
              <w:jc w:val="center"/>
              <w:rPr>
                <w:rFonts w:ascii="宋体" w:hAnsi="宋体" w:eastAsia="宋体" w:cs="Times New Roman"/>
                <w:color w:val="000000"/>
                <w:sz w:val="18"/>
                <w:szCs w:val="18"/>
              </w:rPr>
            </w:pPr>
          </w:p>
        </w:tc>
        <w:tc>
          <w:tcPr>
            <w:tcW w:w="1892" w:type="dxa"/>
            <w:tcBorders>
              <w:top w:val="single" w:color="auto" w:sz="2" w:space="0"/>
              <w:bottom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铝</w:t>
            </w:r>
          </w:p>
        </w:tc>
        <w:tc>
          <w:tcPr>
            <w:tcW w:w="1782" w:type="dxa"/>
            <w:tcBorders>
              <w:top w:val="single" w:color="auto" w:sz="2" w:space="0"/>
              <w:bottom w:val="single" w:color="auto" w:sz="2" w:space="0"/>
            </w:tcBorders>
          </w:tcPr>
          <w:p>
            <w:pPr>
              <w:ind w:firstLine="720" w:firstLineChars="400"/>
              <w:rPr>
                <w:rFonts w:ascii="宋体" w:hAnsi="宋体" w:eastAsia="宋体" w:cs="Times New Roman"/>
                <w:color w:val="000000"/>
                <w:sz w:val="18"/>
                <w:szCs w:val="18"/>
              </w:rPr>
            </w:pPr>
            <w:r>
              <w:rPr>
                <w:rFonts w:hint="eastAsia" w:ascii="宋体" w:hAnsi="宋体" w:eastAsia="宋体" w:cs="Times New Roman"/>
                <w:color w:val="000000"/>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 w:hRule="atLeast"/>
        </w:trPr>
        <w:tc>
          <w:tcPr>
            <w:tcW w:w="4740" w:type="dxa"/>
            <w:gridSpan w:val="3"/>
            <w:vMerge w:val="continue"/>
            <w:vAlign w:val="center"/>
          </w:tcPr>
          <w:p>
            <w:pPr>
              <w:jc w:val="center"/>
              <w:rPr>
                <w:rFonts w:ascii="宋体" w:hAnsi="宋体" w:eastAsia="宋体" w:cs="Times New Roman"/>
                <w:color w:val="000000"/>
                <w:sz w:val="18"/>
                <w:szCs w:val="18"/>
              </w:rPr>
            </w:pPr>
          </w:p>
        </w:tc>
        <w:tc>
          <w:tcPr>
            <w:tcW w:w="1892" w:type="dxa"/>
            <w:tcBorders>
              <w:top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铁</w:t>
            </w:r>
          </w:p>
        </w:tc>
        <w:tc>
          <w:tcPr>
            <w:tcW w:w="1782" w:type="dxa"/>
            <w:tcBorders>
              <w:top w:val="single" w:color="auto" w:sz="2" w:space="0"/>
            </w:tcBorders>
          </w:tcPr>
          <w:p>
            <w:pPr>
              <w:ind w:firstLine="720" w:firstLineChars="400"/>
              <w:rPr>
                <w:rFonts w:ascii="宋体" w:hAnsi="宋体" w:eastAsia="宋体" w:cs="Times New Roman"/>
                <w:color w:val="000000"/>
                <w:sz w:val="18"/>
                <w:szCs w:val="18"/>
              </w:rPr>
            </w:pPr>
            <w:r>
              <w:rPr>
                <w:rFonts w:hint="eastAsia" w:ascii="宋体" w:hAnsi="宋体" w:eastAsia="宋体" w:cs="Times New Roman"/>
                <w:color w:val="000000"/>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740" w:type="dxa"/>
            <w:gridSpan w:val="3"/>
            <w:vMerge w:val="restart"/>
            <w:tcBorders>
              <w:right w:val="single" w:color="auto" w:sz="4" w:space="0"/>
            </w:tcBorders>
            <w:vAlign w:val="center"/>
          </w:tcPr>
          <w:p>
            <w:pPr>
              <w:ind w:firstLine="180" w:firstLineChars="10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从屋内金属装置至等电位连接带的连接导体</w:t>
            </w:r>
            <w:bookmarkStart w:id="2" w:name="_GoBack"/>
            <w:bookmarkEnd w:id="2"/>
          </w:p>
        </w:tc>
        <w:tc>
          <w:tcPr>
            <w:tcW w:w="1892" w:type="dxa"/>
            <w:tcBorders>
              <w:left w:val="single" w:color="auto" w:sz="4" w:space="0"/>
              <w:bottom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铜</w:t>
            </w:r>
          </w:p>
        </w:tc>
        <w:tc>
          <w:tcPr>
            <w:tcW w:w="1782" w:type="dxa"/>
            <w:tcBorders>
              <w:bottom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 w:hRule="atLeast"/>
        </w:trPr>
        <w:tc>
          <w:tcPr>
            <w:tcW w:w="4740" w:type="dxa"/>
            <w:gridSpan w:val="3"/>
            <w:vMerge w:val="continue"/>
            <w:tcBorders>
              <w:right w:val="single" w:color="auto" w:sz="4" w:space="0"/>
            </w:tcBorders>
          </w:tcPr>
          <w:p>
            <w:pPr>
              <w:jc w:val="center"/>
              <w:rPr>
                <w:rFonts w:ascii="宋体" w:hAnsi="宋体" w:eastAsia="宋体" w:cs="Times New Roman"/>
                <w:color w:val="000000"/>
                <w:sz w:val="18"/>
                <w:szCs w:val="18"/>
              </w:rPr>
            </w:pPr>
          </w:p>
        </w:tc>
        <w:tc>
          <w:tcPr>
            <w:tcW w:w="1892" w:type="dxa"/>
            <w:tcBorders>
              <w:top w:val="single" w:color="auto" w:sz="2" w:space="0"/>
              <w:left w:val="single" w:color="auto" w:sz="4" w:space="0"/>
              <w:bottom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铝</w:t>
            </w:r>
          </w:p>
        </w:tc>
        <w:tc>
          <w:tcPr>
            <w:tcW w:w="1782" w:type="dxa"/>
            <w:tcBorders>
              <w:top w:val="single" w:color="auto" w:sz="2" w:space="0"/>
              <w:bottom w:val="single" w:color="auto" w:sz="2" w:space="0"/>
            </w:tcBorders>
          </w:tcPr>
          <w:p>
            <w:pPr>
              <w:ind w:firstLine="720" w:firstLineChars="400"/>
              <w:rPr>
                <w:rFonts w:ascii="宋体" w:hAnsi="宋体" w:eastAsia="宋体" w:cs="Times New Roman"/>
                <w:color w:val="000000"/>
                <w:sz w:val="18"/>
                <w:szCs w:val="18"/>
              </w:rPr>
            </w:pPr>
            <w:r>
              <w:rPr>
                <w:rFonts w:hint="eastAsia" w:ascii="宋体" w:hAnsi="宋体" w:eastAsia="宋体" w:cs="Times New Roman"/>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trPr>
        <w:tc>
          <w:tcPr>
            <w:tcW w:w="4740" w:type="dxa"/>
            <w:gridSpan w:val="3"/>
            <w:vMerge w:val="continue"/>
            <w:tcBorders>
              <w:bottom w:val="nil"/>
              <w:right w:val="single" w:color="auto" w:sz="4" w:space="0"/>
            </w:tcBorders>
          </w:tcPr>
          <w:p>
            <w:pPr>
              <w:jc w:val="center"/>
              <w:rPr>
                <w:rFonts w:ascii="宋体" w:hAnsi="宋体" w:eastAsia="宋体" w:cs="Times New Roman"/>
                <w:color w:val="000000"/>
                <w:sz w:val="18"/>
                <w:szCs w:val="18"/>
              </w:rPr>
            </w:pPr>
          </w:p>
        </w:tc>
        <w:tc>
          <w:tcPr>
            <w:tcW w:w="1892" w:type="dxa"/>
            <w:tcBorders>
              <w:top w:val="single" w:color="auto" w:sz="2" w:space="0"/>
              <w:left w:val="single" w:color="auto" w:sz="4"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铁</w:t>
            </w:r>
          </w:p>
        </w:tc>
        <w:tc>
          <w:tcPr>
            <w:tcW w:w="1782" w:type="dxa"/>
            <w:tcBorders>
              <w:top w:val="single" w:color="auto" w:sz="2" w:space="0"/>
            </w:tcBorders>
          </w:tcPr>
          <w:p>
            <w:pPr>
              <w:ind w:firstLine="720" w:firstLineChars="400"/>
              <w:rPr>
                <w:rFonts w:ascii="宋体" w:hAnsi="宋体" w:eastAsia="宋体" w:cs="Times New Roman"/>
                <w:color w:val="000000"/>
                <w:sz w:val="18"/>
                <w:szCs w:val="18"/>
              </w:rPr>
            </w:pPr>
            <w:r>
              <w:rPr>
                <w:rFonts w:hint="eastAsia" w:ascii="宋体" w:hAnsi="宋体" w:eastAsia="宋体" w:cs="Times New Roman"/>
                <w:color w:val="000000"/>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839" w:type="dxa"/>
            <w:vMerge w:val="restart"/>
            <w:tcBorders>
              <w:top w:val="single" w:color="auto" w:sz="2" w:space="0"/>
              <w:right w:val="single" w:color="auto" w:sz="2"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连接</w:t>
            </w:r>
          </w:p>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SPD</w:t>
            </w:r>
          </w:p>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的导体</w:t>
            </w:r>
          </w:p>
        </w:tc>
        <w:tc>
          <w:tcPr>
            <w:tcW w:w="980" w:type="dxa"/>
            <w:vMerge w:val="restart"/>
            <w:tcBorders>
              <w:top w:val="single" w:color="auto" w:sz="2" w:space="0"/>
              <w:right w:val="single" w:color="auto" w:sz="2"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电气系统</w:t>
            </w:r>
          </w:p>
        </w:tc>
        <w:tc>
          <w:tcPr>
            <w:tcW w:w="2921" w:type="dxa"/>
            <w:tcBorders>
              <w:top w:val="single" w:color="auto" w:sz="2" w:space="0"/>
              <w:left w:val="single" w:color="auto" w:sz="2" w:space="0"/>
              <w:bottom w:val="single" w:color="auto" w:sz="2" w:space="0"/>
              <w:right w:val="single" w:color="auto" w:sz="4"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Ⅰ级试验的SPD</w:t>
            </w:r>
          </w:p>
        </w:tc>
        <w:tc>
          <w:tcPr>
            <w:tcW w:w="1892" w:type="dxa"/>
            <w:vMerge w:val="restart"/>
            <w:tcBorders>
              <w:top w:val="single" w:color="auto" w:sz="4" w:space="0"/>
              <w:left w:val="single" w:color="auto"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铜</w:t>
            </w:r>
          </w:p>
        </w:tc>
        <w:tc>
          <w:tcPr>
            <w:tcW w:w="1782" w:type="dxa"/>
            <w:tcBorders>
              <w:bottom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trPr>
        <w:tc>
          <w:tcPr>
            <w:tcW w:w="839" w:type="dxa"/>
            <w:vMerge w:val="continue"/>
            <w:tcBorders>
              <w:right w:val="single" w:color="auto" w:sz="2" w:space="0"/>
            </w:tcBorders>
          </w:tcPr>
          <w:p>
            <w:pPr>
              <w:jc w:val="center"/>
              <w:rPr>
                <w:rFonts w:ascii="宋体" w:hAnsi="宋体" w:eastAsia="宋体" w:cs="Times New Roman"/>
                <w:color w:val="000000"/>
                <w:sz w:val="18"/>
                <w:szCs w:val="18"/>
              </w:rPr>
            </w:pPr>
          </w:p>
        </w:tc>
        <w:tc>
          <w:tcPr>
            <w:tcW w:w="980" w:type="dxa"/>
            <w:vMerge w:val="continue"/>
            <w:tcBorders>
              <w:right w:val="single" w:color="auto" w:sz="2" w:space="0"/>
            </w:tcBorders>
          </w:tcPr>
          <w:p>
            <w:pPr>
              <w:jc w:val="center"/>
              <w:rPr>
                <w:rFonts w:ascii="宋体" w:hAnsi="宋体" w:eastAsia="宋体" w:cs="Times New Roman"/>
                <w:color w:val="000000"/>
                <w:sz w:val="18"/>
                <w:szCs w:val="18"/>
              </w:rPr>
            </w:pPr>
          </w:p>
        </w:tc>
        <w:tc>
          <w:tcPr>
            <w:tcW w:w="2921" w:type="dxa"/>
            <w:tcBorders>
              <w:top w:val="single" w:color="auto" w:sz="2" w:space="0"/>
              <w:left w:val="single" w:color="auto" w:sz="2" w:space="0"/>
              <w:bottom w:val="single" w:color="auto" w:sz="2" w:space="0"/>
              <w:right w:val="single" w:color="auto" w:sz="4" w:space="0"/>
            </w:tcBorders>
          </w:tcPr>
          <w:p>
            <w:pPr>
              <w:jc w:val="center"/>
              <w:rPr>
                <w:rFonts w:ascii="宋体" w:hAnsi="宋体" w:eastAsia="宋体" w:cs="Times New Roman"/>
                <w:b/>
                <w:color w:val="000000"/>
                <w:sz w:val="18"/>
                <w:szCs w:val="18"/>
              </w:rPr>
            </w:pPr>
            <w:r>
              <w:rPr>
                <w:rFonts w:hint="eastAsia" w:ascii="宋体" w:hAnsi="宋体" w:eastAsia="宋体" w:cs="Times New Roman"/>
                <w:color w:val="000000"/>
                <w:sz w:val="18"/>
                <w:szCs w:val="18"/>
              </w:rPr>
              <w:t>Ⅱ级试验的SPD</w:t>
            </w:r>
          </w:p>
        </w:tc>
        <w:tc>
          <w:tcPr>
            <w:tcW w:w="1892" w:type="dxa"/>
            <w:vMerge w:val="continue"/>
            <w:tcBorders>
              <w:left w:val="single" w:color="auto" w:sz="4" w:space="0"/>
            </w:tcBorders>
          </w:tcPr>
          <w:p>
            <w:pPr>
              <w:jc w:val="center"/>
              <w:rPr>
                <w:rFonts w:ascii="宋体" w:hAnsi="宋体" w:eastAsia="宋体" w:cs="Times New Roman"/>
                <w:b/>
                <w:color w:val="000000"/>
                <w:sz w:val="18"/>
                <w:szCs w:val="18"/>
              </w:rPr>
            </w:pPr>
          </w:p>
        </w:tc>
        <w:tc>
          <w:tcPr>
            <w:tcW w:w="1782" w:type="dxa"/>
            <w:tcBorders>
              <w:top w:val="single" w:color="auto" w:sz="2" w:space="0"/>
              <w:bottom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839" w:type="dxa"/>
            <w:vMerge w:val="continue"/>
            <w:tcBorders>
              <w:right w:val="single" w:color="auto" w:sz="2" w:space="0"/>
            </w:tcBorders>
          </w:tcPr>
          <w:p>
            <w:pPr>
              <w:jc w:val="center"/>
              <w:rPr>
                <w:rFonts w:ascii="宋体" w:hAnsi="宋体" w:eastAsia="宋体" w:cs="Times New Roman"/>
                <w:color w:val="000000"/>
                <w:sz w:val="18"/>
                <w:szCs w:val="18"/>
              </w:rPr>
            </w:pPr>
          </w:p>
        </w:tc>
        <w:tc>
          <w:tcPr>
            <w:tcW w:w="980" w:type="dxa"/>
            <w:vMerge w:val="continue"/>
            <w:tcBorders>
              <w:right w:val="single" w:color="auto" w:sz="2" w:space="0"/>
            </w:tcBorders>
          </w:tcPr>
          <w:p>
            <w:pPr>
              <w:jc w:val="center"/>
              <w:rPr>
                <w:rFonts w:ascii="宋体" w:hAnsi="宋体" w:eastAsia="宋体" w:cs="Times New Roman"/>
                <w:color w:val="000000"/>
                <w:sz w:val="18"/>
                <w:szCs w:val="18"/>
              </w:rPr>
            </w:pPr>
          </w:p>
        </w:tc>
        <w:tc>
          <w:tcPr>
            <w:tcW w:w="2921" w:type="dxa"/>
            <w:tcBorders>
              <w:top w:val="single" w:color="auto" w:sz="2" w:space="0"/>
              <w:left w:val="single" w:color="auto" w:sz="2" w:space="0"/>
              <w:bottom w:val="single" w:color="auto" w:sz="4" w:space="0"/>
              <w:right w:val="single" w:color="auto" w:sz="4" w:space="0"/>
            </w:tcBorders>
          </w:tcPr>
          <w:p>
            <w:pPr>
              <w:jc w:val="center"/>
              <w:rPr>
                <w:rFonts w:ascii="宋体" w:hAnsi="宋体" w:eastAsia="宋体" w:cs="Times New Roman"/>
                <w:b/>
                <w:color w:val="000000"/>
                <w:sz w:val="18"/>
                <w:szCs w:val="18"/>
              </w:rPr>
            </w:pPr>
            <w:r>
              <w:rPr>
                <w:rFonts w:hint="eastAsia" w:ascii="宋体" w:hAnsi="宋体" w:eastAsia="宋体" w:cs="Times New Roman"/>
                <w:color w:val="000000"/>
                <w:sz w:val="18"/>
                <w:szCs w:val="18"/>
              </w:rPr>
              <w:t>Ⅲ级试验的SPD</w:t>
            </w:r>
          </w:p>
        </w:tc>
        <w:tc>
          <w:tcPr>
            <w:tcW w:w="1892" w:type="dxa"/>
            <w:vMerge w:val="continue"/>
            <w:tcBorders>
              <w:left w:val="single" w:color="auto" w:sz="4" w:space="0"/>
            </w:tcBorders>
          </w:tcPr>
          <w:p>
            <w:pPr>
              <w:jc w:val="center"/>
              <w:rPr>
                <w:rFonts w:ascii="宋体" w:hAnsi="宋体" w:eastAsia="宋体" w:cs="Times New Roman"/>
                <w:b/>
                <w:color w:val="000000"/>
                <w:sz w:val="18"/>
                <w:szCs w:val="18"/>
              </w:rPr>
            </w:pPr>
          </w:p>
        </w:tc>
        <w:tc>
          <w:tcPr>
            <w:tcW w:w="1782" w:type="dxa"/>
            <w:tcBorders>
              <w:top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839" w:type="dxa"/>
            <w:vMerge w:val="continue"/>
            <w:tcBorders>
              <w:right w:val="single" w:color="auto" w:sz="2" w:space="0"/>
            </w:tcBorders>
          </w:tcPr>
          <w:p>
            <w:pPr>
              <w:jc w:val="center"/>
              <w:rPr>
                <w:rFonts w:ascii="宋体" w:hAnsi="宋体" w:eastAsia="宋体" w:cs="Times New Roman"/>
                <w:color w:val="000000"/>
                <w:sz w:val="18"/>
                <w:szCs w:val="18"/>
              </w:rPr>
            </w:pPr>
          </w:p>
        </w:tc>
        <w:tc>
          <w:tcPr>
            <w:tcW w:w="980" w:type="dxa"/>
            <w:tcBorders>
              <w:right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电子系统</w:t>
            </w:r>
          </w:p>
        </w:tc>
        <w:tc>
          <w:tcPr>
            <w:tcW w:w="2921" w:type="dxa"/>
            <w:tcBorders>
              <w:top w:val="single" w:color="auto" w:sz="4" w:space="0"/>
              <w:left w:val="single" w:color="auto" w:sz="2" w:space="0"/>
              <w:bottom w:val="single" w:color="auto" w:sz="4" w:space="0"/>
              <w:right w:val="single" w:color="auto" w:sz="4"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D1类SPD</w:t>
            </w:r>
          </w:p>
        </w:tc>
        <w:tc>
          <w:tcPr>
            <w:tcW w:w="1892" w:type="dxa"/>
            <w:vMerge w:val="continue"/>
            <w:tcBorders>
              <w:left w:val="single" w:color="auto" w:sz="4" w:space="0"/>
            </w:tcBorders>
          </w:tcPr>
          <w:p>
            <w:pPr>
              <w:jc w:val="center"/>
              <w:rPr>
                <w:rFonts w:ascii="宋体" w:hAnsi="宋体" w:eastAsia="宋体" w:cs="Times New Roman"/>
                <w:b/>
                <w:color w:val="000000"/>
                <w:sz w:val="18"/>
                <w:szCs w:val="18"/>
              </w:rPr>
            </w:pPr>
          </w:p>
        </w:tc>
        <w:tc>
          <w:tcPr>
            <w:tcW w:w="1782" w:type="dxa"/>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839" w:type="dxa"/>
            <w:tcBorders>
              <w:right w:val="single" w:color="auto" w:sz="2" w:space="0"/>
            </w:tcBorders>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连接</w:t>
            </w:r>
          </w:p>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SPD</w:t>
            </w:r>
          </w:p>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的导体</w:t>
            </w:r>
          </w:p>
        </w:tc>
        <w:tc>
          <w:tcPr>
            <w:tcW w:w="980" w:type="dxa"/>
            <w:tcBorders>
              <w:right w:val="single" w:color="auto" w:sz="2"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电子系统</w:t>
            </w:r>
          </w:p>
        </w:tc>
        <w:tc>
          <w:tcPr>
            <w:tcW w:w="2921" w:type="dxa"/>
            <w:tcBorders>
              <w:top w:val="single" w:color="auto" w:sz="4" w:space="0"/>
              <w:left w:val="single" w:color="auto" w:sz="2" w:space="0"/>
              <w:bottom w:val="single" w:color="auto" w:sz="4" w:space="0"/>
              <w:right w:val="single" w:color="auto"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其他类的SPD</w:t>
            </w:r>
          </w:p>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(连接导体的截面可小于1.2mm</w:t>
            </w:r>
            <w:r>
              <w:rPr>
                <w:rFonts w:hint="eastAsia" w:ascii="宋体" w:hAnsi="宋体" w:eastAsia="宋体" w:cs="Times New Roman"/>
                <w:color w:val="000000"/>
                <w:sz w:val="18"/>
                <w:szCs w:val="18"/>
                <w:vertAlign w:val="superscript"/>
              </w:rPr>
              <w:t>2</w:t>
            </w:r>
            <w:r>
              <w:rPr>
                <w:rFonts w:hint="eastAsia" w:ascii="宋体" w:hAnsi="宋体" w:eastAsia="宋体" w:cs="Times New Roman"/>
                <w:color w:val="000000"/>
                <w:sz w:val="18"/>
                <w:szCs w:val="18"/>
              </w:rPr>
              <w:t>)</w:t>
            </w:r>
          </w:p>
        </w:tc>
        <w:tc>
          <w:tcPr>
            <w:tcW w:w="1892" w:type="dxa"/>
            <w:tcBorders>
              <w:left w:val="single" w:color="auto" w:sz="4" w:space="0"/>
            </w:tcBorders>
            <w:vAlign w:val="center"/>
          </w:tcPr>
          <w:p>
            <w:pPr>
              <w:jc w:val="center"/>
              <w:rPr>
                <w:rFonts w:ascii="宋体" w:hAnsi="宋体" w:eastAsia="宋体" w:cs="Times New Roman"/>
                <w:b/>
                <w:color w:val="000000"/>
                <w:sz w:val="18"/>
                <w:szCs w:val="18"/>
              </w:rPr>
            </w:pPr>
          </w:p>
        </w:tc>
        <w:tc>
          <w:tcPr>
            <w:tcW w:w="1782" w:type="dxa"/>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根据具体情况确定</w:t>
            </w:r>
          </w:p>
        </w:tc>
      </w:tr>
    </w:tbl>
    <w:p>
      <w:pPr>
        <w:pStyle w:val="5"/>
        <w:spacing w:line="400" w:lineRule="exact"/>
        <w:ind w:left="400" w:firstLine="360" w:firstLineChars="150"/>
        <w:jc w:val="left"/>
        <w:rPr>
          <w:rFonts w:ascii="Times New Roman" w:hAnsi="Times New Roman"/>
          <w:color w:val="000000"/>
          <w:kern w:val="0"/>
          <w:sz w:val="24"/>
          <w:szCs w:val="24"/>
        </w:rPr>
      </w:pP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第B.2.2条</w:t>
      </w:r>
    </w:p>
    <w:p>
      <w:pPr>
        <w:rPr>
          <w:sz w:val="30"/>
          <w:szCs w:val="30"/>
        </w:rPr>
      </w:pPr>
    </w:p>
    <w:p>
      <w:pPr>
        <w:numPr>
          <w:ilvl w:val="0"/>
          <w:numId w:val="6"/>
        </w:numPr>
        <w:spacing w:line="400" w:lineRule="exac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简述低压配电系统的SPD的分类。</w:t>
      </w:r>
    </w:p>
    <w:p>
      <w:pPr>
        <w:spacing w:line="400" w:lineRule="exact"/>
        <w:ind w:firstLine="240" w:firstLineChars="1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color w:val="000000"/>
          <w:kern w:val="0"/>
          <w:sz w:val="24"/>
          <w:szCs w:val="24"/>
        </w:rPr>
        <w:t>答：</w:t>
      </w:r>
    </w:p>
    <w:tbl>
      <w:tblPr>
        <w:tblStyle w:val="3"/>
        <w:tblW w:w="7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2" w:type="dxa"/>
          <w:bottom w:w="0" w:type="dxa"/>
          <w:right w:w="22" w:type="dxa"/>
        </w:tblCellMar>
      </w:tblPr>
      <w:tblGrid>
        <w:gridCol w:w="822"/>
        <w:gridCol w:w="540"/>
        <w:gridCol w:w="1608"/>
        <w:gridCol w:w="992"/>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jc w:val="center"/>
        </w:trPr>
        <w:tc>
          <w:tcPr>
            <w:tcW w:w="82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大类序号</w:t>
            </w:r>
          </w:p>
        </w:tc>
        <w:tc>
          <w:tcPr>
            <w:tcW w:w="2148" w:type="dxa"/>
            <w:gridSpan w:val="2"/>
            <w:vAlign w:val="center"/>
          </w:tcPr>
          <w:p>
            <w:pPr>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分类方式</w:t>
            </w:r>
          </w:p>
        </w:tc>
        <w:tc>
          <w:tcPr>
            <w:tcW w:w="992" w:type="dxa"/>
            <w:vAlign w:val="center"/>
          </w:tcPr>
          <w:p>
            <w:pPr>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小类序号</w:t>
            </w:r>
          </w:p>
        </w:tc>
        <w:tc>
          <w:tcPr>
            <w:tcW w:w="3119" w:type="dxa"/>
            <w:vAlign w:val="center"/>
          </w:tcPr>
          <w:p>
            <w:pPr>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具体分类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277" w:hRule="atLeast"/>
          <w:jc w:val="center"/>
        </w:trPr>
        <w:tc>
          <w:tcPr>
            <w:tcW w:w="82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w:t>
            </w:r>
          </w:p>
        </w:tc>
        <w:tc>
          <w:tcPr>
            <w:tcW w:w="2148" w:type="dxa"/>
            <w:gridSpan w:val="2"/>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按有无串联附加阻抗</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w:t>
            </w:r>
          </w:p>
        </w:tc>
        <w:tc>
          <w:tcPr>
            <w:tcW w:w="3119" w:type="dxa"/>
            <w:vAlign w:val="center"/>
          </w:tcPr>
          <w:p>
            <w:pPr>
              <w:snapToGrid w:val="0"/>
              <w:spacing w:line="0" w:lineRule="atLeast"/>
              <w:ind w:firstLine="1350" w:firstLineChars="7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无串阻抗（单口）</w:t>
            </w:r>
          </w:p>
          <w:p>
            <w:pPr>
              <w:snapToGrid w:val="0"/>
              <w:spacing w:line="0" w:lineRule="atLeast"/>
              <w:ind w:firstLine="1350" w:firstLineChars="7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串联阻抗（双口）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598" w:hRule="atLeast"/>
          <w:jc w:val="center"/>
        </w:trPr>
        <w:tc>
          <w:tcPr>
            <w:tcW w:w="82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w:t>
            </w:r>
          </w:p>
        </w:tc>
        <w:tc>
          <w:tcPr>
            <w:tcW w:w="2148" w:type="dxa"/>
            <w:gridSpan w:val="2"/>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按电路设计拓朴</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3</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4</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5</w:t>
            </w:r>
          </w:p>
        </w:tc>
        <w:tc>
          <w:tcPr>
            <w:tcW w:w="3119" w:type="dxa"/>
            <w:vAlign w:val="center"/>
          </w:tcPr>
          <w:p>
            <w:pPr>
              <w:snapToGrid w:val="0"/>
              <w:spacing w:line="0" w:lineRule="atLeast"/>
              <w:ind w:firstLine="1530" w:firstLineChars="8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电压开关型</w:t>
            </w:r>
          </w:p>
          <w:p>
            <w:pPr>
              <w:snapToGrid w:val="0"/>
              <w:spacing w:line="0" w:lineRule="atLeast"/>
              <w:ind w:firstLine="1530" w:firstLineChars="8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电压限制型</w:t>
            </w:r>
          </w:p>
          <w:p>
            <w:pPr>
              <w:snapToGrid w:val="0"/>
              <w:spacing w:line="0" w:lineRule="atLeast"/>
              <w:ind w:firstLine="1710" w:firstLineChars="9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组合型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416" w:hRule="atLeast"/>
          <w:jc w:val="center"/>
        </w:trPr>
        <w:tc>
          <w:tcPr>
            <w:tcW w:w="82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3</w:t>
            </w:r>
          </w:p>
        </w:tc>
        <w:tc>
          <w:tcPr>
            <w:tcW w:w="2148" w:type="dxa"/>
            <w:gridSpan w:val="2"/>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按冲击试验类型</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6</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7</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8</w:t>
            </w:r>
          </w:p>
        </w:tc>
        <w:tc>
          <w:tcPr>
            <w:tcW w:w="3119" w:type="dxa"/>
            <w:vAlign w:val="center"/>
          </w:tcPr>
          <w:p>
            <w:pPr>
              <w:ind w:firstLine="990" w:firstLineChars="550"/>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Ⅰ级分类试验I</w:t>
            </w:r>
            <w:r>
              <w:rPr>
                <w:rFonts w:ascii="Times New Roman" w:hAnsi="Times New Roman" w:eastAsia="宋体" w:cs="Times New Roman"/>
                <w:color w:val="000000"/>
                <w:sz w:val="18"/>
                <w:szCs w:val="18"/>
                <w:vertAlign w:val="subscript"/>
              </w:rPr>
              <w:t>imp</w:t>
            </w:r>
            <w:r>
              <w:rPr>
                <w:rFonts w:hint="eastAsia" w:ascii="Times New Roman" w:hAnsi="Times New Roman" w:eastAsia="宋体" w:cs="Times New Roman"/>
                <w:color w:val="000000"/>
                <w:sz w:val="18"/>
                <w:szCs w:val="18"/>
              </w:rPr>
              <w:t>即</w:t>
            </w:r>
            <w:r>
              <w:rPr>
                <w:rFonts w:hint="eastAsia" w:ascii="Times New Roman" w:hAnsi="宋体" w:eastAsia="宋体" w:cs="Times New Roman"/>
                <w:color w:val="000000"/>
                <w:sz w:val="18"/>
                <w:szCs w:val="18"/>
                <w:bdr w:val="single" w:color="auto" w:sz="4" w:space="0"/>
              </w:rPr>
              <w:t>T1</w:t>
            </w:r>
          </w:p>
          <w:p>
            <w:pPr>
              <w:snapToGrid w:val="0"/>
              <w:spacing w:line="0" w:lineRule="atLeast"/>
              <w:ind w:firstLine="990" w:firstLineChars="550"/>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Ⅱ级分类试验</w:t>
            </w:r>
            <w:r>
              <w:rPr>
                <w:rFonts w:hint="eastAsia" w:ascii="宋体" w:hAnsi="Courier New" w:eastAsia="宋体" w:cs="Times New Roman"/>
                <w:color w:val="000000"/>
                <w:sz w:val="18"/>
                <w:szCs w:val="18"/>
              </w:rPr>
              <w:t>I</w:t>
            </w:r>
            <w:r>
              <w:rPr>
                <w:rFonts w:ascii="宋体" w:hAnsi="Courier New" w:eastAsia="宋体" w:cs="Times New Roman"/>
                <w:color w:val="000000"/>
                <w:sz w:val="18"/>
                <w:szCs w:val="18"/>
                <w:vertAlign w:val="subscript"/>
              </w:rPr>
              <w:t>imx</w:t>
            </w:r>
            <w:r>
              <w:rPr>
                <w:rFonts w:hint="eastAsia" w:ascii="宋体" w:hAnsi="Courier New" w:eastAsia="宋体" w:cs="Times New Roman"/>
                <w:color w:val="000000"/>
                <w:sz w:val="18"/>
                <w:szCs w:val="18"/>
              </w:rPr>
              <w:t xml:space="preserve">即 </w:t>
            </w:r>
            <w:r>
              <w:rPr>
                <w:rFonts w:hint="eastAsia" w:ascii="宋体" w:hAnsi="宋体" w:eastAsia="宋体" w:cs="Times New Roman"/>
                <w:color w:val="000000"/>
                <w:sz w:val="18"/>
                <w:szCs w:val="18"/>
                <w:bdr w:val="single" w:color="auto" w:sz="4" w:space="0"/>
              </w:rPr>
              <w:t>T2</w:t>
            </w:r>
          </w:p>
          <w:p>
            <w:pPr>
              <w:ind w:firstLine="990" w:firstLineChars="550"/>
              <w:rPr>
                <w:rFonts w:ascii="Times New Roman" w:hAnsi="宋体" w:eastAsia="宋体" w:cs="Times New Roman"/>
                <w:color w:val="000000"/>
                <w:sz w:val="21"/>
                <w:szCs w:val="21"/>
                <w:bdr w:val="single" w:color="auto" w:sz="4" w:space="0"/>
              </w:rPr>
            </w:pPr>
            <w:r>
              <w:rPr>
                <w:rFonts w:hint="eastAsia" w:ascii="Times New Roman" w:hAnsi="Times New Roman" w:eastAsia="宋体" w:cs="Times New Roman"/>
                <w:color w:val="000000"/>
                <w:sz w:val="18"/>
                <w:szCs w:val="18"/>
              </w:rPr>
              <w:t>Ⅲ级分类试验U</w:t>
            </w:r>
            <w:r>
              <w:rPr>
                <w:rFonts w:hint="eastAsia" w:ascii="Times New Roman" w:hAnsi="Times New Roman" w:eastAsia="宋体" w:cs="Times New Roman"/>
                <w:color w:val="000000"/>
                <w:sz w:val="18"/>
                <w:szCs w:val="18"/>
                <w:vertAlign w:val="subscript"/>
              </w:rPr>
              <w:t>OC</w:t>
            </w:r>
            <w:r>
              <w:rPr>
                <w:rFonts w:hint="eastAsia" w:ascii="Times New Roman" w:hAnsi="Times New Roman" w:eastAsia="宋体" w:cs="Times New Roman"/>
                <w:color w:val="000000"/>
                <w:sz w:val="18"/>
                <w:szCs w:val="18"/>
              </w:rPr>
              <w:t>即</w:t>
            </w:r>
            <w:r>
              <w:rPr>
                <w:rFonts w:hint="eastAsia" w:ascii="Times New Roman" w:hAnsi="宋体" w:eastAsia="宋体" w:cs="Times New Roman"/>
                <w:color w:val="000000"/>
                <w:sz w:val="18"/>
                <w:szCs w:val="18"/>
                <w:bdr w:val="single" w:color="auto" w:sz="4" w:space="0"/>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425" w:hRule="atLeast"/>
          <w:jc w:val="center"/>
        </w:trPr>
        <w:tc>
          <w:tcPr>
            <w:tcW w:w="82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4</w:t>
            </w:r>
          </w:p>
        </w:tc>
        <w:tc>
          <w:tcPr>
            <w:tcW w:w="2148" w:type="dxa"/>
            <w:gridSpan w:val="2"/>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按可触及性</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9</w:t>
            </w:r>
          </w:p>
          <w:p>
            <w:pPr>
              <w:snapToGrid w:val="0"/>
              <w:spacing w:line="0" w:lineRule="atLeast"/>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 xml:space="preserve">    10</w:t>
            </w:r>
          </w:p>
        </w:tc>
        <w:tc>
          <w:tcPr>
            <w:tcW w:w="3119" w:type="dxa"/>
            <w:vAlign w:val="center"/>
          </w:tcPr>
          <w:p>
            <w:pPr>
              <w:snapToGrid w:val="0"/>
              <w:spacing w:line="0" w:lineRule="atLeast"/>
              <w:ind w:firstLine="1620" w:firstLineChars="9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易触及型</w:t>
            </w:r>
          </w:p>
          <w:p>
            <w:pPr>
              <w:snapToGrid w:val="0"/>
              <w:spacing w:line="0" w:lineRule="atLeast"/>
              <w:ind w:firstLine="1530" w:firstLineChars="8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不易触及型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291" w:hRule="atLeast"/>
          <w:jc w:val="center"/>
        </w:trPr>
        <w:tc>
          <w:tcPr>
            <w:tcW w:w="82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5</w:t>
            </w:r>
          </w:p>
        </w:tc>
        <w:tc>
          <w:tcPr>
            <w:tcW w:w="2148" w:type="dxa"/>
            <w:gridSpan w:val="2"/>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按安装方式</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11</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12</w:t>
            </w:r>
          </w:p>
        </w:tc>
        <w:tc>
          <w:tcPr>
            <w:tcW w:w="3119" w:type="dxa"/>
            <w:vAlign w:val="center"/>
          </w:tcPr>
          <w:p>
            <w:pPr>
              <w:snapToGrid w:val="0"/>
              <w:spacing w:line="0" w:lineRule="atLeast"/>
              <w:ind w:firstLine="1710" w:firstLineChars="9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固定式</w:t>
            </w:r>
          </w:p>
          <w:p>
            <w:pPr>
              <w:snapToGrid w:val="0"/>
              <w:spacing w:line="0" w:lineRule="atLeast"/>
              <w:ind w:firstLine="1710" w:firstLineChars="9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可移式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570" w:hRule="atLeast"/>
          <w:jc w:val="center"/>
        </w:trPr>
        <w:tc>
          <w:tcPr>
            <w:tcW w:w="822" w:type="dxa"/>
            <w:vMerge w:val="restart"/>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6</w:t>
            </w:r>
          </w:p>
        </w:tc>
        <w:tc>
          <w:tcPr>
            <w:tcW w:w="540" w:type="dxa"/>
            <w:vMerge w:val="restart"/>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脱</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离</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器</w:t>
            </w:r>
          </w:p>
        </w:tc>
        <w:tc>
          <w:tcPr>
            <w:tcW w:w="1608"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安装位置</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13</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14</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15</w:t>
            </w:r>
          </w:p>
        </w:tc>
        <w:tc>
          <w:tcPr>
            <w:tcW w:w="3119" w:type="dxa"/>
            <w:vAlign w:val="center"/>
          </w:tcPr>
          <w:p>
            <w:pPr>
              <w:snapToGrid w:val="0"/>
              <w:spacing w:line="0" w:lineRule="atLeast"/>
              <w:ind w:firstLine="1440" w:firstLineChars="8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安在SPD内部</w:t>
            </w:r>
          </w:p>
          <w:p>
            <w:pPr>
              <w:snapToGrid w:val="0"/>
              <w:spacing w:line="0" w:lineRule="atLeast"/>
              <w:ind w:firstLine="1440" w:firstLineChars="8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安在SPD外部</w:t>
            </w:r>
          </w:p>
          <w:p>
            <w:pPr>
              <w:snapToGrid w:val="0"/>
              <w:spacing w:line="0" w:lineRule="atLeast"/>
              <w:ind w:firstLine="1530" w:firstLineChars="8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内、外部均有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584" w:hRule="atLeast"/>
          <w:jc w:val="center"/>
        </w:trPr>
        <w:tc>
          <w:tcPr>
            <w:tcW w:w="822" w:type="dxa"/>
            <w:vMerge w:val="continue"/>
            <w:vAlign w:val="center"/>
          </w:tcPr>
          <w:p>
            <w:pPr>
              <w:snapToGrid w:val="0"/>
              <w:spacing w:line="0" w:lineRule="atLeast"/>
              <w:jc w:val="center"/>
              <w:rPr>
                <w:rFonts w:ascii="Times New Roman" w:hAnsi="Times New Roman" w:eastAsia="宋体" w:cs="Times New Roman"/>
                <w:color w:val="000000"/>
                <w:sz w:val="18"/>
                <w:szCs w:val="20"/>
              </w:rPr>
            </w:pPr>
          </w:p>
        </w:tc>
        <w:tc>
          <w:tcPr>
            <w:tcW w:w="540" w:type="dxa"/>
            <w:vMerge w:val="continue"/>
            <w:vAlign w:val="center"/>
          </w:tcPr>
          <w:p>
            <w:pPr>
              <w:snapToGrid w:val="0"/>
              <w:spacing w:line="0" w:lineRule="atLeast"/>
              <w:jc w:val="center"/>
              <w:rPr>
                <w:rFonts w:ascii="Times New Roman" w:hAnsi="Times New Roman" w:eastAsia="宋体" w:cs="Times New Roman"/>
                <w:color w:val="000000"/>
                <w:sz w:val="18"/>
                <w:szCs w:val="20"/>
              </w:rPr>
            </w:pPr>
          </w:p>
        </w:tc>
        <w:tc>
          <w:tcPr>
            <w:tcW w:w="1608"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保护功能</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16</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17</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18</w:t>
            </w:r>
          </w:p>
        </w:tc>
        <w:tc>
          <w:tcPr>
            <w:tcW w:w="3119" w:type="dxa"/>
            <w:vAlign w:val="center"/>
          </w:tcPr>
          <w:p>
            <w:pPr>
              <w:snapToGrid w:val="0"/>
              <w:spacing w:line="0" w:lineRule="atLeast"/>
              <w:ind w:firstLine="1440" w:firstLineChars="8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有防过热功能</w:t>
            </w:r>
          </w:p>
          <w:p>
            <w:pPr>
              <w:snapToGrid w:val="0"/>
              <w:spacing w:line="0" w:lineRule="atLeast"/>
              <w:ind w:firstLine="1260" w:firstLineChars="7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有防泄漏电流功能</w:t>
            </w:r>
          </w:p>
          <w:p>
            <w:pPr>
              <w:snapToGrid w:val="0"/>
              <w:spacing w:line="0" w:lineRule="atLeast"/>
              <w:ind w:firstLine="1350" w:firstLineChars="7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有防过电流功能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347" w:hRule="atLeast"/>
          <w:jc w:val="center"/>
        </w:trPr>
        <w:tc>
          <w:tcPr>
            <w:tcW w:w="82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7</w:t>
            </w:r>
          </w:p>
        </w:tc>
        <w:tc>
          <w:tcPr>
            <w:tcW w:w="2148" w:type="dxa"/>
            <w:gridSpan w:val="2"/>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后备过电流保护</w:t>
            </w:r>
          </w:p>
        </w:tc>
        <w:tc>
          <w:tcPr>
            <w:tcW w:w="992" w:type="dxa"/>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19</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20</w:t>
            </w:r>
          </w:p>
        </w:tc>
        <w:tc>
          <w:tcPr>
            <w:tcW w:w="3119" w:type="dxa"/>
            <w:vAlign w:val="center"/>
          </w:tcPr>
          <w:p>
            <w:pPr>
              <w:snapToGrid w:val="0"/>
              <w:spacing w:line="0" w:lineRule="atLeast"/>
              <w:ind w:firstLine="1440" w:firstLineChars="8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有具体规定的</w:t>
            </w:r>
          </w:p>
          <w:p>
            <w:pPr>
              <w:snapToGrid w:val="0"/>
              <w:spacing w:line="0" w:lineRule="atLeast"/>
              <w:ind w:firstLine="1440" w:firstLineChars="8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无具体规定的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jc w:val="center"/>
        </w:trPr>
        <w:tc>
          <w:tcPr>
            <w:tcW w:w="822" w:type="dxa"/>
            <w:tcBorders>
              <w:bottom w:val="nil"/>
            </w:tcBorders>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8</w:t>
            </w:r>
          </w:p>
        </w:tc>
        <w:tc>
          <w:tcPr>
            <w:tcW w:w="2148" w:type="dxa"/>
            <w:gridSpan w:val="2"/>
            <w:tcBorders>
              <w:bottom w:val="nil"/>
            </w:tcBorders>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外壳保护等级</w:t>
            </w:r>
          </w:p>
        </w:tc>
        <w:tc>
          <w:tcPr>
            <w:tcW w:w="992" w:type="dxa"/>
            <w:tcBorders>
              <w:bottom w:val="nil"/>
            </w:tcBorders>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21</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21＋1</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21＋2</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21＋</w:t>
            </w:r>
            <w:r>
              <w:rPr>
                <w:rFonts w:ascii="Times New Roman" w:hAnsi="Times New Roman" w:eastAsia="宋体" w:cs="Times New Roman"/>
                <w:color w:val="000000"/>
                <w:sz w:val="18"/>
                <w:szCs w:val="20"/>
              </w:rPr>
              <w:t>n</w:t>
            </w:r>
          </w:p>
        </w:tc>
        <w:tc>
          <w:tcPr>
            <w:tcW w:w="3119" w:type="dxa"/>
            <w:tcBorders>
              <w:bottom w:val="nil"/>
            </w:tcBorders>
            <w:vAlign w:val="center"/>
          </w:tcPr>
          <w:p>
            <w:pPr>
              <w:snapToGrid w:val="0"/>
              <w:spacing w:line="0" w:lineRule="atLeast"/>
              <w:ind w:firstLine="1260" w:firstLineChars="70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按IP代码规定划分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 w:type="dxa"/>
            <w:bottom w:w="0" w:type="dxa"/>
            <w:right w:w="22" w:type="dxa"/>
          </w:tblCellMar>
        </w:tblPrEx>
        <w:trPr>
          <w:cantSplit/>
          <w:trHeight w:val="126" w:hRule="atLeast"/>
          <w:jc w:val="center"/>
        </w:trPr>
        <w:tc>
          <w:tcPr>
            <w:tcW w:w="822" w:type="dxa"/>
            <w:tcBorders>
              <w:bottom w:val="single" w:color="auto" w:sz="4" w:space="0"/>
            </w:tcBorders>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9</w:t>
            </w:r>
          </w:p>
        </w:tc>
        <w:tc>
          <w:tcPr>
            <w:tcW w:w="2148" w:type="dxa"/>
            <w:gridSpan w:val="2"/>
            <w:tcBorders>
              <w:bottom w:val="single" w:color="auto" w:sz="4" w:space="0"/>
            </w:tcBorders>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温度范围</w:t>
            </w:r>
          </w:p>
        </w:tc>
        <w:tc>
          <w:tcPr>
            <w:tcW w:w="992" w:type="dxa"/>
            <w:tcBorders>
              <w:bottom w:val="single" w:color="auto" w:sz="4" w:space="0"/>
            </w:tcBorders>
            <w:vAlign w:val="center"/>
          </w:tcPr>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22</w:t>
            </w:r>
          </w:p>
          <w:p>
            <w:pPr>
              <w:snapToGrid w:val="0"/>
              <w:spacing w:line="0" w:lineRule="atLeast"/>
              <w:jc w:val="center"/>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23</w:t>
            </w:r>
          </w:p>
        </w:tc>
        <w:tc>
          <w:tcPr>
            <w:tcW w:w="3119" w:type="dxa"/>
            <w:tcBorders>
              <w:bottom w:val="single" w:color="auto" w:sz="4" w:space="0"/>
            </w:tcBorders>
            <w:vAlign w:val="center"/>
          </w:tcPr>
          <w:p>
            <w:pPr>
              <w:snapToGrid w:val="0"/>
              <w:spacing w:line="0" w:lineRule="atLeast"/>
              <w:ind w:firstLine="1170" w:firstLineChars="6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工作在正常温度范围</w:t>
            </w:r>
          </w:p>
          <w:p>
            <w:pPr>
              <w:tabs>
                <w:tab w:val="left" w:pos="736"/>
              </w:tabs>
              <w:snapToGrid w:val="0"/>
              <w:spacing w:line="0" w:lineRule="atLeast"/>
              <w:ind w:firstLine="1170" w:firstLineChars="650"/>
              <w:rPr>
                <w:rFonts w:ascii="Times New Roman" w:hAnsi="Times New Roman" w:eastAsia="宋体" w:cs="Times New Roman"/>
                <w:color w:val="000000"/>
                <w:sz w:val="18"/>
                <w:szCs w:val="20"/>
              </w:rPr>
            </w:pPr>
            <w:r>
              <w:rPr>
                <w:rFonts w:hint="eastAsia" w:ascii="Times New Roman" w:hAnsi="Times New Roman" w:eastAsia="宋体" w:cs="Times New Roman"/>
                <w:color w:val="000000"/>
                <w:sz w:val="18"/>
                <w:szCs w:val="20"/>
              </w:rPr>
              <w:t>工作在异常温度范围</w:t>
            </w:r>
          </w:p>
        </w:tc>
      </w:tr>
    </w:tbl>
    <w:p>
      <w:pPr>
        <w:pStyle w:val="5"/>
        <w:spacing w:line="400" w:lineRule="exact"/>
        <w:ind w:left="400" w:firstLine="360" w:firstLineChars="150"/>
        <w:jc w:val="left"/>
        <w:rPr>
          <w:rFonts w:ascii="Times New Roman" w:hAnsi="Times New Roman"/>
          <w:color w:val="000000"/>
          <w:kern w:val="0"/>
          <w:sz w:val="24"/>
          <w:szCs w:val="24"/>
        </w:rPr>
      </w:pPr>
    </w:p>
    <w:p>
      <w:pPr>
        <w:pStyle w:val="5"/>
        <w:spacing w:line="400" w:lineRule="exact"/>
        <w:ind w:left="400" w:firstLine="0" w:firstLineChars="0"/>
        <w:jc w:val="left"/>
        <w:rPr>
          <w:rFonts w:ascii="Times New Roman" w:hAnsi="Times New Roman"/>
          <w:color w:val="000000"/>
          <w:sz w:val="24"/>
          <w:szCs w:val="24"/>
        </w:rPr>
      </w:pPr>
      <w:r>
        <w:rPr>
          <w:rFonts w:ascii="Times New Roman" w:hAnsi="Times New Roman" w:eastAsia="黑体"/>
          <w:color w:val="000000"/>
        </w:rPr>
        <w:t>解析：</w:t>
      </w:r>
      <w:r>
        <w:rPr>
          <w:rFonts w:hint="eastAsia" w:ascii="Times New Roman" w:hAnsi="Times New Roman"/>
          <w:color w:val="000000"/>
          <w:sz w:val="24"/>
          <w:szCs w:val="24"/>
        </w:rPr>
        <w:t>GB50601–2010《建筑物防雷工程施工与质量验收规范</w:t>
      </w:r>
      <w:r>
        <w:rPr>
          <w:rFonts w:ascii="Times New Roman" w:hAnsi="Times New Roman"/>
          <w:color w:val="000000"/>
          <w:sz w:val="24"/>
          <w:szCs w:val="24"/>
        </w:rPr>
        <w:t>》</w:t>
      </w:r>
      <w:r>
        <w:rPr>
          <w:rFonts w:hint="eastAsia" w:ascii="Times New Roman" w:hAnsi="Times New Roman"/>
          <w:color w:val="000000"/>
          <w:sz w:val="24"/>
          <w:szCs w:val="24"/>
        </w:rPr>
        <w:t>第C.0.1条</w:t>
      </w:r>
    </w:p>
    <w:p>
      <w:pPr>
        <w:pStyle w:val="5"/>
        <w:spacing w:line="400" w:lineRule="exact"/>
        <w:ind w:left="400" w:firstLine="360" w:firstLineChars="150"/>
        <w:jc w:val="left"/>
        <w:rPr>
          <w:rFonts w:ascii="Times New Roman" w:hAnsi="Times New Roman"/>
          <w:color w:val="000000"/>
          <w:sz w:val="24"/>
          <w:szCs w:val="24"/>
        </w:rPr>
      </w:pPr>
    </w:p>
    <w:p>
      <w:pPr>
        <w:pStyle w:val="5"/>
        <w:spacing w:line="400" w:lineRule="exact"/>
        <w:ind w:left="400" w:firstLine="360" w:firstLineChars="150"/>
        <w:jc w:val="left"/>
        <w:rPr>
          <w:rFonts w:ascii="Times New Roman" w:hAnsi="Times New Roman"/>
          <w:color w:val="000000"/>
          <w:sz w:val="24"/>
          <w:szCs w:val="24"/>
        </w:rPr>
      </w:pPr>
    </w:p>
    <w:p>
      <w:pPr>
        <w:numPr>
          <w:ilvl w:val="0"/>
          <w:numId w:val="6"/>
        </w:numPr>
        <w:spacing w:line="400" w:lineRule="exact"/>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SPD生产厂应在其产品标志、铭牌或使用说明书上提供何种信息?</w:t>
      </w:r>
    </w:p>
    <w:p>
      <w:pPr>
        <w:spacing w:line="400" w:lineRule="exact"/>
        <w:ind w:firstLine="480" w:firstLineChars="200"/>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答：</w:t>
      </w:r>
    </w:p>
    <w:p>
      <w:pPr>
        <w:pStyle w:val="2"/>
        <w:spacing w:before="0" w:beforeAutospacing="0" w:after="0" w:afterAutospacing="0" w:line="400" w:lineRule="exact"/>
        <w:ind w:firstLine="960" w:firstLineChars="400"/>
        <w:rPr>
          <w:rFonts w:ascii="Times New Roman" w:hAnsi="Times New Roman"/>
          <w:color w:val="000000"/>
        </w:rPr>
      </w:pPr>
      <w:r>
        <w:rPr>
          <w:rFonts w:hint="eastAsia" w:ascii="Times New Roman" w:hAnsi="Times New Roman"/>
          <w:color w:val="000000"/>
        </w:rPr>
        <w:t>1）生产厂名、商标及型号。</w:t>
      </w:r>
    </w:p>
    <w:p>
      <w:pPr>
        <w:pStyle w:val="2"/>
        <w:spacing w:before="0" w:beforeAutospacing="0" w:after="0" w:afterAutospacing="0" w:line="400" w:lineRule="exact"/>
        <w:ind w:firstLine="960" w:firstLineChars="400"/>
        <w:rPr>
          <w:rFonts w:ascii="Times New Roman" w:hAnsi="Times New Roman"/>
          <w:color w:val="000000"/>
        </w:rPr>
      </w:pPr>
      <w:r>
        <w:rPr>
          <w:rFonts w:hint="eastAsia" w:ascii="Times New Roman" w:hAnsi="Times New Roman"/>
          <w:color w:val="000000"/>
        </w:rPr>
        <w:t>2）是否串有阻抗（双口或单口）。</w:t>
      </w:r>
    </w:p>
    <w:p>
      <w:pPr>
        <w:pStyle w:val="2"/>
        <w:spacing w:before="0" w:beforeAutospacing="0" w:after="0" w:afterAutospacing="0" w:line="400" w:lineRule="exact"/>
        <w:ind w:firstLine="960" w:firstLineChars="400"/>
        <w:rPr>
          <w:rFonts w:ascii="Times New Roman" w:hAnsi="Times New Roman"/>
          <w:color w:val="000000"/>
        </w:rPr>
      </w:pPr>
      <w:r>
        <w:rPr>
          <w:rFonts w:hint="eastAsia" w:ascii="Times New Roman" w:hAnsi="Times New Roman"/>
          <w:color w:val="000000"/>
        </w:rPr>
        <w:t>3）安装方法。</w:t>
      </w:r>
    </w:p>
    <w:p>
      <w:pPr>
        <w:pStyle w:val="2"/>
        <w:spacing w:before="0" w:beforeAutospacing="0" w:after="0" w:afterAutospacing="0" w:line="400" w:lineRule="exact"/>
        <w:ind w:firstLine="480" w:firstLineChars="200"/>
        <w:rPr>
          <w:rFonts w:ascii="Times New Roman" w:hAnsi="Times New Roman"/>
          <w:color w:val="000000"/>
        </w:rPr>
      </w:pPr>
      <w:r>
        <w:rPr>
          <w:rFonts w:hint="eastAsia" w:ascii="Times New Roman" w:hAnsi="Times New Roman"/>
          <w:color w:val="000000"/>
        </w:rPr>
        <w:t xml:space="preserve">    4）最大持续运行电压，每一种保护模式一个值。</w:t>
      </w:r>
    </w:p>
    <w:p>
      <w:pPr>
        <w:pStyle w:val="5"/>
        <w:spacing w:line="400" w:lineRule="exact"/>
        <w:ind w:firstLine="480"/>
        <w:jc w:val="left"/>
        <w:rPr>
          <w:rFonts w:ascii="Times New Roman" w:hAnsi="Times New Roman"/>
          <w:color w:val="000000"/>
          <w:kern w:val="0"/>
          <w:sz w:val="24"/>
          <w:szCs w:val="24"/>
        </w:rPr>
      </w:pPr>
      <w:r>
        <w:rPr>
          <w:rFonts w:hint="eastAsia" w:ascii="Times New Roman" w:hAnsi="Times New Roman"/>
          <w:color w:val="000000"/>
          <w:kern w:val="0"/>
          <w:sz w:val="24"/>
          <w:szCs w:val="24"/>
        </w:rPr>
        <w:t>解析：GB50601-2010《建筑物防雷工程施工与质量验收规范》第C.0.3条</w:t>
      </w:r>
    </w:p>
    <w:p>
      <w:pPr>
        <w:pStyle w:val="5"/>
        <w:spacing w:line="400" w:lineRule="exact"/>
        <w:ind w:left="400" w:firstLine="360" w:firstLineChars="150"/>
        <w:jc w:val="left"/>
        <w:rPr>
          <w:rFonts w:ascii="Times New Roman" w:hAnsi="Times New Roman"/>
          <w:color w:val="000000"/>
          <w:kern w:val="0"/>
          <w:sz w:val="24"/>
          <w:szCs w:val="24"/>
        </w:rPr>
      </w:pPr>
    </w:p>
    <w:p>
      <w:pPr>
        <w:numPr>
          <w:numId w:val="0"/>
        </w:numPr>
        <w:ind w:left="420" w:leftChars="0"/>
        <w:rPr>
          <w:rFonts w:hint="default" w:ascii="黑体" w:hAnsi="黑体" w:eastAsia="黑体" w:cs="黑体"/>
          <w:color w:val="000000"/>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69830"/>
    <w:multiLevelType w:val="singleLevel"/>
    <w:tmpl w:val="BDD69830"/>
    <w:lvl w:ilvl="0" w:tentative="0">
      <w:start w:val="1"/>
      <w:numFmt w:val="decimal"/>
      <w:suff w:val="space"/>
      <w:lvlText w:val="%1."/>
      <w:lvlJc w:val="left"/>
    </w:lvl>
  </w:abstractNum>
  <w:abstractNum w:abstractNumId="1">
    <w:nsid w:val="10F52859"/>
    <w:multiLevelType w:val="multilevel"/>
    <w:tmpl w:val="10F5285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9945A42"/>
    <w:multiLevelType w:val="multilevel"/>
    <w:tmpl w:val="29945A42"/>
    <w:lvl w:ilvl="0" w:tentative="0">
      <w:start w:val="1"/>
      <w:numFmt w:val="decimal"/>
      <w:lvlText w:val="%1."/>
      <w:lvlJc w:val="left"/>
      <w:pPr>
        <w:ind w:left="567" w:hanging="567"/>
      </w:pPr>
      <w:rPr>
        <w:rFonts w:hint="eastAsia"/>
      </w:rPr>
    </w:lvl>
    <w:lvl w:ilvl="1" w:tentative="0">
      <w:start w:val="1"/>
      <w:numFmt w:val="decimal"/>
      <w:suff w:val="space"/>
      <w:lvlText w:val="%2."/>
      <w:lvlJc w:val="left"/>
      <w:pPr>
        <w:ind w:left="567" w:hanging="567"/>
      </w:pPr>
      <w:rPr>
        <w:rFonts w:hint="default" w:ascii="Times New Roman" w:hAnsi="Times New Roman" w:cs="Times New Roman"/>
      </w:rPr>
    </w:lvl>
    <w:lvl w:ilvl="2" w:tentative="0">
      <w:start w:val="1"/>
      <w:numFmt w:val="lowerRoman"/>
      <w:lvlText w:val="%3."/>
      <w:lvlJc w:val="right"/>
      <w:pPr>
        <w:ind w:left="567" w:hanging="567"/>
      </w:pPr>
      <w:rPr>
        <w:rFonts w:hint="eastAsia"/>
      </w:rPr>
    </w:lvl>
    <w:lvl w:ilvl="3" w:tentative="0">
      <w:start w:val="1"/>
      <w:numFmt w:val="decimal"/>
      <w:lvlText w:val="%4."/>
      <w:lvlJc w:val="left"/>
      <w:pPr>
        <w:ind w:left="567" w:hanging="567"/>
      </w:pPr>
      <w:rPr>
        <w:rFonts w:hint="eastAsia"/>
      </w:rPr>
    </w:lvl>
    <w:lvl w:ilvl="4" w:tentative="0">
      <w:start w:val="1"/>
      <w:numFmt w:val="lowerLetter"/>
      <w:lvlText w:val="%5)"/>
      <w:lvlJc w:val="left"/>
      <w:pPr>
        <w:ind w:left="567" w:hanging="567"/>
      </w:pPr>
      <w:rPr>
        <w:rFonts w:hint="eastAsia"/>
      </w:rPr>
    </w:lvl>
    <w:lvl w:ilvl="5" w:tentative="0">
      <w:start w:val="1"/>
      <w:numFmt w:val="lowerRoman"/>
      <w:lvlText w:val="%6."/>
      <w:lvlJc w:val="right"/>
      <w:pPr>
        <w:ind w:left="567" w:hanging="567"/>
      </w:pPr>
      <w:rPr>
        <w:rFonts w:hint="eastAsia"/>
      </w:rPr>
    </w:lvl>
    <w:lvl w:ilvl="6" w:tentative="0">
      <w:start w:val="1"/>
      <w:numFmt w:val="decimal"/>
      <w:lvlText w:val="%7."/>
      <w:lvlJc w:val="left"/>
      <w:pPr>
        <w:ind w:left="567" w:hanging="567"/>
      </w:pPr>
      <w:rPr>
        <w:rFonts w:hint="eastAsia"/>
      </w:rPr>
    </w:lvl>
    <w:lvl w:ilvl="7" w:tentative="0">
      <w:start w:val="1"/>
      <w:numFmt w:val="lowerLetter"/>
      <w:lvlText w:val="%8)"/>
      <w:lvlJc w:val="left"/>
      <w:pPr>
        <w:ind w:left="567" w:hanging="567"/>
      </w:pPr>
      <w:rPr>
        <w:rFonts w:hint="eastAsia"/>
      </w:rPr>
    </w:lvl>
    <w:lvl w:ilvl="8" w:tentative="0">
      <w:start w:val="1"/>
      <w:numFmt w:val="lowerRoman"/>
      <w:lvlText w:val="%9."/>
      <w:lvlJc w:val="right"/>
      <w:pPr>
        <w:ind w:left="567" w:hanging="567"/>
      </w:pPr>
      <w:rPr>
        <w:rFonts w:hint="eastAsia"/>
      </w:rPr>
    </w:lvl>
  </w:abstractNum>
  <w:abstractNum w:abstractNumId="3">
    <w:nsid w:val="2D70665E"/>
    <w:multiLevelType w:val="multilevel"/>
    <w:tmpl w:val="2D70665E"/>
    <w:lvl w:ilvl="0" w:tentative="0">
      <w:start w:val="1"/>
      <w:numFmt w:val="decimal"/>
      <w:suff w:val="space"/>
      <w:lvlText w:val="%1."/>
      <w:lvlJc w:val="left"/>
      <w:pPr>
        <w:ind w:left="400" w:hanging="400"/>
      </w:pPr>
      <w:rPr>
        <w:rFonts w:hint="default" w:ascii="Times New Roman" w:hAnsi="Times New Roman" w:cs="Times New Roman"/>
        <w:b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40E5426B"/>
    <w:multiLevelType w:val="singleLevel"/>
    <w:tmpl w:val="40E5426B"/>
    <w:lvl w:ilvl="0" w:tentative="0">
      <w:start w:val="5"/>
      <w:numFmt w:val="chineseCounting"/>
      <w:suff w:val="nothing"/>
      <w:lvlText w:val="%1、"/>
      <w:lvlJc w:val="left"/>
      <w:pPr>
        <w:ind w:left="420" w:leftChars="0" w:firstLine="0" w:firstLineChars="0"/>
      </w:pPr>
      <w:rPr>
        <w:rFonts w:hint="eastAsia"/>
      </w:rPr>
    </w:lvl>
  </w:abstractNum>
  <w:abstractNum w:abstractNumId="5">
    <w:nsid w:val="54DC3561"/>
    <w:multiLevelType w:val="multilevel"/>
    <w:tmpl w:val="54DC3561"/>
    <w:lvl w:ilvl="0" w:tentative="0">
      <w:start w:val="1"/>
      <w:numFmt w:val="decimal"/>
      <w:suff w:val="space"/>
      <w:lvlText w:val="%1."/>
      <w:lvlJc w:val="left"/>
      <w:pPr>
        <w:ind w:left="400" w:hanging="400"/>
      </w:pPr>
      <w:rPr>
        <w:rFonts w:hint="default" w:ascii="Times New Roman" w:hAnsi="Times New Roman" w:cs="Times New Roman"/>
        <w:b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04332"/>
    <w:rsid w:val="00C81A09"/>
    <w:rsid w:val="029355BC"/>
    <w:rsid w:val="05217DE3"/>
    <w:rsid w:val="05533A1F"/>
    <w:rsid w:val="06B2748E"/>
    <w:rsid w:val="07872751"/>
    <w:rsid w:val="092B45F0"/>
    <w:rsid w:val="0B9E5A11"/>
    <w:rsid w:val="0D6C16E6"/>
    <w:rsid w:val="0DA2643B"/>
    <w:rsid w:val="0ECE51A3"/>
    <w:rsid w:val="103F1057"/>
    <w:rsid w:val="16D2442E"/>
    <w:rsid w:val="1F880062"/>
    <w:rsid w:val="1FE6333E"/>
    <w:rsid w:val="1FF50239"/>
    <w:rsid w:val="204E3C35"/>
    <w:rsid w:val="21EF54A7"/>
    <w:rsid w:val="220E0492"/>
    <w:rsid w:val="24E7742B"/>
    <w:rsid w:val="26217C40"/>
    <w:rsid w:val="273968F7"/>
    <w:rsid w:val="2AFB2200"/>
    <w:rsid w:val="2B0C2EA3"/>
    <w:rsid w:val="2C767C4C"/>
    <w:rsid w:val="2DC43A16"/>
    <w:rsid w:val="31835F7C"/>
    <w:rsid w:val="35786C4D"/>
    <w:rsid w:val="358B1667"/>
    <w:rsid w:val="35CE02EA"/>
    <w:rsid w:val="3ABD70A9"/>
    <w:rsid w:val="3C244FB9"/>
    <w:rsid w:val="3D4226BD"/>
    <w:rsid w:val="3E102879"/>
    <w:rsid w:val="3EC223E5"/>
    <w:rsid w:val="3F077E16"/>
    <w:rsid w:val="448254AE"/>
    <w:rsid w:val="45A64645"/>
    <w:rsid w:val="460B449B"/>
    <w:rsid w:val="479D2C70"/>
    <w:rsid w:val="4ACF76D8"/>
    <w:rsid w:val="4BAD6E39"/>
    <w:rsid w:val="4C877153"/>
    <w:rsid w:val="4F094BA2"/>
    <w:rsid w:val="51233C12"/>
    <w:rsid w:val="5165211D"/>
    <w:rsid w:val="546F5F66"/>
    <w:rsid w:val="5471216D"/>
    <w:rsid w:val="54977A39"/>
    <w:rsid w:val="55CB5239"/>
    <w:rsid w:val="567C38A9"/>
    <w:rsid w:val="58041ED3"/>
    <w:rsid w:val="593443FD"/>
    <w:rsid w:val="5CF04332"/>
    <w:rsid w:val="5E1313FD"/>
    <w:rsid w:val="5FAB29AD"/>
    <w:rsid w:val="60E35881"/>
    <w:rsid w:val="614C7A2D"/>
    <w:rsid w:val="62CB4F56"/>
    <w:rsid w:val="64170DDE"/>
    <w:rsid w:val="64ED6E58"/>
    <w:rsid w:val="655F2805"/>
    <w:rsid w:val="66302223"/>
    <w:rsid w:val="68226AA7"/>
    <w:rsid w:val="68956EAD"/>
    <w:rsid w:val="6993322D"/>
    <w:rsid w:val="69BE38A6"/>
    <w:rsid w:val="6A231CBE"/>
    <w:rsid w:val="6BAC0D71"/>
    <w:rsid w:val="6D754191"/>
    <w:rsid w:val="6FBD2567"/>
    <w:rsid w:val="6FD610A4"/>
    <w:rsid w:val="72950726"/>
    <w:rsid w:val="75DC1C80"/>
    <w:rsid w:val="769A30EB"/>
    <w:rsid w:val="77074FF2"/>
    <w:rsid w:val="787C2FA0"/>
    <w:rsid w:val="7933362B"/>
    <w:rsid w:val="7FFD3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List Paragraph"/>
    <w:basedOn w:val="1"/>
    <w:qFormat/>
    <w:uiPriority w:val="34"/>
    <w:pPr>
      <w:ind w:firstLine="420" w:firstLineChars="200"/>
    </w:pPr>
    <w:rPr>
      <w:rFonts w:eastAsia="宋体" w:cs="Times New Roman"/>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2021-11-02T07:57:00Z</dcterms:created>
  <dc:creator>Edith</dc:creator>
  <cp:lastModifiedBy>Edith</cp:lastModifiedBy>
  <dcterms:modified xsi:type="dcterms:W3CDTF">2021-11-02T08:11:19Z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8B1113FD9E564AFAAAC3D974A748A69F</vt:lpwstr>
  </property>
</Properties>
</file>